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FE" w:rsidRPr="00F26E57" w:rsidRDefault="00320DFE" w:rsidP="00FE090C">
      <w:pPr>
        <w:tabs>
          <w:tab w:val="right" w:pos="9630"/>
        </w:tabs>
        <w:spacing w:after="0" w:line="240" w:lineRule="auto"/>
        <w:rPr>
          <w:rFonts w:ascii="Arial Narrow" w:hAnsi="Arial Narrow"/>
          <w:sz w:val="28"/>
          <w:szCs w:val="28"/>
        </w:rPr>
      </w:pPr>
      <w:r w:rsidRPr="00F26E57">
        <w:rPr>
          <w:rFonts w:ascii="Arial Narrow" w:hAnsi="Arial Narrow"/>
          <w:b/>
          <w:sz w:val="32"/>
          <w:szCs w:val="32"/>
        </w:rPr>
        <w:t>What Are The Alternatives?</w:t>
      </w:r>
      <w:r w:rsidR="004855E7" w:rsidRPr="00F26E57">
        <w:rPr>
          <w:rFonts w:ascii="Arial Narrow" w:hAnsi="Arial Narrow"/>
          <w:sz w:val="28"/>
          <w:szCs w:val="28"/>
        </w:rPr>
        <w:tab/>
      </w:r>
      <w:r w:rsidRPr="00F26E57">
        <w:rPr>
          <w:rFonts w:ascii="Arial Narrow" w:hAnsi="Arial Narrow"/>
        </w:rPr>
        <w:t>Third Quarter 2016</w:t>
      </w:r>
    </w:p>
    <w:p w:rsidR="00320DFE" w:rsidRPr="00F26E57" w:rsidRDefault="00320DFE">
      <w:pPr>
        <w:rPr>
          <w:rFonts w:ascii="Arial Narrow" w:hAnsi="Arial Narrow"/>
          <w:b/>
          <w:sz w:val="24"/>
          <w:szCs w:val="24"/>
        </w:rPr>
      </w:pPr>
      <w:r w:rsidRPr="00F26E57">
        <w:rPr>
          <w:rFonts w:ascii="Arial Narrow" w:hAnsi="Arial Narrow"/>
          <w:b/>
          <w:i/>
          <w:sz w:val="24"/>
          <w:szCs w:val="24"/>
        </w:rPr>
        <w:t xml:space="preserve">A Private Funds Primer </w:t>
      </w:r>
    </w:p>
    <w:p w:rsidR="004855E7" w:rsidRPr="00F26E57" w:rsidRDefault="004855E7">
      <w:pPr>
        <w:rPr>
          <w:rFonts w:ascii="Arial Narrow" w:hAnsi="Arial Narrow"/>
        </w:rPr>
        <w:sectPr w:rsidR="004855E7" w:rsidRPr="00F26E57" w:rsidSect="007F29C7">
          <w:footerReference w:type="default" r:id="rId9"/>
          <w:pgSz w:w="12240" w:h="15840"/>
          <w:pgMar w:top="1440" w:right="1296" w:bottom="1440" w:left="1296" w:header="720" w:footer="432" w:gutter="0"/>
          <w:cols w:space="720"/>
          <w:docGrid w:linePitch="360"/>
        </w:sectPr>
      </w:pPr>
    </w:p>
    <w:p w:rsidR="004855E7" w:rsidRPr="00F26E57" w:rsidRDefault="00034EC6" w:rsidP="0053670A">
      <w:pPr>
        <w:rPr>
          <w:rFonts w:ascii="Arial Narrow" w:hAnsi="Arial Narrow"/>
          <w:b/>
          <w:sz w:val="20"/>
          <w:szCs w:val="20"/>
        </w:rPr>
      </w:pPr>
      <w:r w:rsidRPr="00F26E57">
        <w:rPr>
          <w:rFonts w:ascii="Arial Narrow" w:hAnsi="Arial Narrow"/>
          <w:b/>
          <w:sz w:val="20"/>
          <w:szCs w:val="20"/>
        </w:rPr>
        <w:t>Preface</w:t>
      </w:r>
    </w:p>
    <w:p w:rsidR="00CF65E8" w:rsidRPr="00F26E57" w:rsidRDefault="00CF65E8" w:rsidP="00CF65E8">
      <w:pPr>
        <w:jc w:val="both"/>
        <w:rPr>
          <w:rFonts w:ascii="Arial Narrow" w:hAnsi="Arial Narrow"/>
          <w:sz w:val="20"/>
          <w:szCs w:val="20"/>
        </w:rPr>
      </w:pPr>
      <w:r w:rsidRPr="00F26E57">
        <w:rPr>
          <w:rFonts w:ascii="Arial Narrow" w:hAnsi="Arial Narrow"/>
          <w:sz w:val="20"/>
          <w:szCs w:val="20"/>
        </w:rPr>
        <w:t xml:space="preserve">Over the past three years, </w:t>
      </w:r>
      <w:proofErr w:type="spellStart"/>
      <w:r w:rsidRPr="00F26E57">
        <w:rPr>
          <w:rFonts w:ascii="Arial Narrow" w:hAnsi="Arial Narrow"/>
          <w:sz w:val="20"/>
          <w:szCs w:val="20"/>
        </w:rPr>
        <w:t>EIS</w:t>
      </w:r>
      <w:proofErr w:type="spellEnd"/>
      <w:r w:rsidRPr="00F26E57">
        <w:rPr>
          <w:rFonts w:ascii="Arial Narrow" w:hAnsi="Arial Narrow"/>
          <w:sz w:val="20"/>
          <w:szCs w:val="20"/>
        </w:rPr>
        <w:t xml:space="preserve"> has worked with qualified</w:t>
      </w:r>
      <w:r w:rsidR="00134321" w:rsidRPr="00F26E57">
        <w:rPr>
          <w:rStyle w:val="FootnoteReference"/>
          <w:rFonts w:ascii="Arial Narrow" w:hAnsi="Arial Narrow"/>
          <w:sz w:val="20"/>
          <w:szCs w:val="20"/>
        </w:rPr>
        <w:footnoteReference w:id="1"/>
      </w:r>
      <w:r w:rsidRPr="00F26E57">
        <w:rPr>
          <w:rFonts w:ascii="Arial Narrow" w:hAnsi="Arial Narrow"/>
          <w:sz w:val="20"/>
          <w:szCs w:val="20"/>
        </w:rPr>
        <w:t xml:space="preserve"> colleagues and family members who </w:t>
      </w:r>
      <w:r w:rsidR="00CB5443" w:rsidRPr="00F26E57">
        <w:rPr>
          <w:rFonts w:ascii="Arial Narrow" w:hAnsi="Arial Narrow"/>
          <w:sz w:val="20"/>
          <w:szCs w:val="20"/>
        </w:rPr>
        <w:t xml:space="preserve">have </w:t>
      </w:r>
      <w:r w:rsidRPr="00F26E57">
        <w:rPr>
          <w:rFonts w:ascii="Arial Narrow" w:hAnsi="Arial Narrow"/>
          <w:sz w:val="20"/>
          <w:szCs w:val="20"/>
        </w:rPr>
        <w:t>made more than 20</w:t>
      </w:r>
      <w:r w:rsidR="006F066F" w:rsidRPr="00F26E57">
        <w:rPr>
          <w:rFonts w:ascii="Arial Narrow" w:hAnsi="Arial Narrow"/>
          <w:sz w:val="20"/>
          <w:szCs w:val="20"/>
        </w:rPr>
        <w:t>0</w:t>
      </w:r>
      <w:r w:rsidRPr="00F26E57">
        <w:rPr>
          <w:rFonts w:ascii="Arial Narrow" w:hAnsi="Arial Narrow"/>
          <w:sz w:val="20"/>
          <w:szCs w:val="20"/>
        </w:rPr>
        <w:t xml:space="preserve"> commitments to our private funds</w:t>
      </w:r>
      <w:r w:rsidR="001E57B1" w:rsidRPr="00F26E57">
        <w:rPr>
          <w:rFonts w:ascii="Arial Narrow" w:hAnsi="Arial Narrow"/>
          <w:sz w:val="20"/>
          <w:szCs w:val="20"/>
        </w:rPr>
        <w:t xml:space="preserve"> strategies</w:t>
      </w:r>
      <w:r w:rsidR="0025304B" w:rsidRPr="00F26E57">
        <w:rPr>
          <w:rFonts w:ascii="Arial Narrow" w:hAnsi="Arial Narrow"/>
          <w:sz w:val="20"/>
          <w:szCs w:val="20"/>
        </w:rPr>
        <w:t xml:space="preserve">.  These </w:t>
      </w:r>
      <w:r w:rsidR="00A1277C" w:rsidRPr="00F26E57">
        <w:rPr>
          <w:rFonts w:ascii="Arial Narrow" w:hAnsi="Arial Narrow"/>
          <w:sz w:val="20"/>
          <w:szCs w:val="20"/>
        </w:rPr>
        <w:t>so-called “</w:t>
      </w:r>
      <w:r w:rsidR="001B1930" w:rsidRPr="00F26E57">
        <w:rPr>
          <w:rFonts w:ascii="Arial Narrow" w:hAnsi="Arial Narrow"/>
          <w:sz w:val="20"/>
          <w:szCs w:val="20"/>
        </w:rPr>
        <w:t>a</w:t>
      </w:r>
      <w:r w:rsidR="00A1277C" w:rsidRPr="00F26E57">
        <w:rPr>
          <w:rFonts w:ascii="Arial Narrow" w:hAnsi="Arial Narrow"/>
          <w:sz w:val="20"/>
          <w:szCs w:val="20"/>
        </w:rPr>
        <w:t>lternative” investment</w:t>
      </w:r>
      <w:r w:rsidR="001E57B1" w:rsidRPr="00F26E57">
        <w:rPr>
          <w:rFonts w:ascii="Arial Narrow" w:hAnsi="Arial Narrow"/>
          <w:sz w:val="20"/>
          <w:szCs w:val="20"/>
        </w:rPr>
        <w:t xml:space="preserve"> strategies </w:t>
      </w:r>
      <w:r w:rsidR="00060FD0" w:rsidRPr="00F26E57">
        <w:rPr>
          <w:rFonts w:ascii="Arial Narrow" w:hAnsi="Arial Narrow"/>
          <w:sz w:val="20"/>
          <w:szCs w:val="20"/>
        </w:rPr>
        <w:t xml:space="preserve">include </w:t>
      </w:r>
      <w:r w:rsidR="00A1277C" w:rsidRPr="00F26E57">
        <w:rPr>
          <w:rFonts w:ascii="Arial Narrow" w:hAnsi="Arial Narrow"/>
          <w:sz w:val="20"/>
          <w:szCs w:val="20"/>
        </w:rPr>
        <w:t xml:space="preserve">hedge funds, private equity, </w:t>
      </w:r>
      <w:r w:rsidR="001935F6" w:rsidRPr="00F26E57">
        <w:rPr>
          <w:rFonts w:ascii="Arial Narrow" w:hAnsi="Arial Narrow"/>
          <w:sz w:val="20"/>
          <w:szCs w:val="20"/>
        </w:rPr>
        <w:t xml:space="preserve">private debt, and specialty </w:t>
      </w:r>
      <w:r w:rsidR="0025304B" w:rsidRPr="00F26E57">
        <w:rPr>
          <w:rFonts w:ascii="Arial Narrow" w:hAnsi="Arial Narrow"/>
          <w:sz w:val="20"/>
          <w:szCs w:val="20"/>
        </w:rPr>
        <w:t>funds managed by Neuberger Berman within our $</w:t>
      </w:r>
      <w:r w:rsidR="00497469" w:rsidRPr="00F26E57">
        <w:rPr>
          <w:rFonts w:ascii="Arial Narrow" w:hAnsi="Arial Narrow"/>
          <w:sz w:val="20"/>
          <w:szCs w:val="20"/>
        </w:rPr>
        <w:t>35</w:t>
      </w:r>
      <w:r w:rsidR="0025304B" w:rsidRPr="00F26E57">
        <w:rPr>
          <w:rFonts w:ascii="Arial Narrow" w:hAnsi="Arial Narrow"/>
          <w:sz w:val="20"/>
          <w:szCs w:val="20"/>
        </w:rPr>
        <w:t xml:space="preserve"> billion</w:t>
      </w:r>
      <w:r w:rsidR="007F29C7" w:rsidRPr="00F26E57">
        <w:rPr>
          <w:rStyle w:val="EndnoteReference"/>
          <w:rFonts w:ascii="Arial Narrow" w:hAnsi="Arial Narrow"/>
          <w:sz w:val="20"/>
          <w:szCs w:val="20"/>
        </w:rPr>
        <w:endnoteReference w:id="1"/>
      </w:r>
      <w:r w:rsidR="007F29C7" w:rsidRPr="00F26E57">
        <w:rPr>
          <w:rFonts w:ascii="Arial Narrow" w:hAnsi="Arial Narrow"/>
          <w:sz w:val="20"/>
          <w:szCs w:val="20"/>
        </w:rPr>
        <w:t xml:space="preserve"> </w:t>
      </w:r>
      <w:r w:rsidR="006A633C" w:rsidRPr="00F26E57">
        <w:rPr>
          <w:rFonts w:ascii="Arial Narrow" w:hAnsi="Arial Narrow"/>
          <w:sz w:val="20"/>
          <w:szCs w:val="20"/>
        </w:rPr>
        <w:t>a</w:t>
      </w:r>
      <w:r w:rsidR="0025304B" w:rsidRPr="00F26E57">
        <w:rPr>
          <w:rFonts w:ascii="Arial Narrow" w:hAnsi="Arial Narrow"/>
          <w:sz w:val="20"/>
          <w:szCs w:val="20"/>
        </w:rPr>
        <w:t xml:space="preserve">lternatives </w:t>
      </w:r>
      <w:r w:rsidR="006A633C" w:rsidRPr="00F26E57">
        <w:rPr>
          <w:rFonts w:ascii="Arial Narrow" w:hAnsi="Arial Narrow"/>
          <w:sz w:val="20"/>
          <w:szCs w:val="20"/>
        </w:rPr>
        <w:t>business</w:t>
      </w:r>
      <w:r w:rsidR="0025304B" w:rsidRPr="00F26E57">
        <w:rPr>
          <w:rFonts w:ascii="Arial Narrow" w:hAnsi="Arial Narrow"/>
          <w:sz w:val="20"/>
          <w:szCs w:val="20"/>
        </w:rPr>
        <w:t>.</w:t>
      </w:r>
    </w:p>
    <w:p w:rsidR="00F341C4" w:rsidRPr="00F26E57" w:rsidRDefault="00E063FC" w:rsidP="00CF65E8">
      <w:pPr>
        <w:jc w:val="both"/>
        <w:rPr>
          <w:rFonts w:ascii="Arial Narrow" w:hAnsi="Arial Narrow"/>
          <w:sz w:val="20"/>
          <w:szCs w:val="20"/>
        </w:rPr>
      </w:pPr>
      <w:r w:rsidRPr="00F26E57">
        <w:rPr>
          <w:rFonts w:ascii="Arial Narrow" w:hAnsi="Arial Narrow"/>
          <w:sz w:val="20"/>
          <w:szCs w:val="20"/>
        </w:rPr>
        <w:t xml:space="preserve">As with </w:t>
      </w:r>
      <w:r w:rsidR="00C67354" w:rsidRPr="00F26E57">
        <w:rPr>
          <w:rFonts w:ascii="Arial Narrow" w:hAnsi="Arial Narrow"/>
          <w:sz w:val="20"/>
          <w:szCs w:val="20"/>
        </w:rPr>
        <w:t xml:space="preserve">most </w:t>
      </w:r>
      <w:r w:rsidR="00F341C4" w:rsidRPr="00F26E57">
        <w:rPr>
          <w:rFonts w:ascii="Arial Narrow" w:hAnsi="Arial Narrow"/>
          <w:sz w:val="20"/>
          <w:szCs w:val="20"/>
        </w:rPr>
        <w:t xml:space="preserve">asset classes, private funds have </w:t>
      </w:r>
      <w:r w:rsidR="001E57B1" w:rsidRPr="00F26E57">
        <w:rPr>
          <w:rFonts w:ascii="Arial Narrow" w:hAnsi="Arial Narrow"/>
          <w:sz w:val="20"/>
          <w:szCs w:val="20"/>
        </w:rPr>
        <w:t xml:space="preserve">an investment language all their own.  </w:t>
      </w:r>
      <w:r w:rsidR="0025304B" w:rsidRPr="00F26E57">
        <w:rPr>
          <w:rFonts w:ascii="Arial Narrow" w:hAnsi="Arial Narrow"/>
          <w:sz w:val="20"/>
          <w:szCs w:val="20"/>
        </w:rPr>
        <w:t xml:space="preserve">Private funds’ </w:t>
      </w:r>
      <w:r w:rsidR="008E2C8E" w:rsidRPr="00F26E57">
        <w:rPr>
          <w:rFonts w:ascii="Arial Narrow" w:hAnsi="Arial Narrow"/>
          <w:sz w:val="20"/>
          <w:szCs w:val="20"/>
        </w:rPr>
        <w:t xml:space="preserve">distinctive </w:t>
      </w:r>
      <w:r w:rsidR="008C36AC" w:rsidRPr="00F26E57">
        <w:rPr>
          <w:rFonts w:ascii="Arial Narrow" w:hAnsi="Arial Narrow"/>
          <w:sz w:val="20"/>
          <w:szCs w:val="20"/>
        </w:rPr>
        <w:t>investment processes</w:t>
      </w:r>
      <w:r w:rsidR="001E57B1" w:rsidRPr="00F26E57">
        <w:rPr>
          <w:rFonts w:ascii="Arial Narrow" w:hAnsi="Arial Narrow"/>
          <w:sz w:val="20"/>
          <w:szCs w:val="20"/>
        </w:rPr>
        <w:t>, risk</w:t>
      </w:r>
      <w:r w:rsidR="00C67354" w:rsidRPr="00F26E57">
        <w:rPr>
          <w:rFonts w:ascii="Arial Narrow" w:hAnsi="Arial Narrow"/>
          <w:sz w:val="20"/>
          <w:szCs w:val="20"/>
        </w:rPr>
        <w:t xml:space="preserve"> and </w:t>
      </w:r>
      <w:r w:rsidR="001E57B1" w:rsidRPr="00F26E57">
        <w:rPr>
          <w:rFonts w:ascii="Arial Narrow" w:hAnsi="Arial Narrow"/>
          <w:sz w:val="20"/>
          <w:szCs w:val="20"/>
        </w:rPr>
        <w:t xml:space="preserve">reward </w:t>
      </w:r>
      <w:r w:rsidR="008C36AC" w:rsidRPr="00F26E57">
        <w:rPr>
          <w:rFonts w:ascii="Arial Narrow" w:hAnsi="Arial Narrow"/>
          <w:sz w:val="20"/>
          <w:szCs w:val="20"/>
        </w:rPr>
        <w:t>considerations</w:t>
      </w:r>
      <w:r w:rsidRPr="00F26E57">
        <w:rPr>
          <w:rFonts w:ascii="Arial Narrow" w:hAnsi="Arial Narrow"/>
          <w:sz w:val="20"/>
          <w:szCs w:val="20"/>
        </w:rPr>
        <w:t xml:space="preserve">, </w:t>
      </w:r>
      <w:r w:rsidR="0025304B" w:rsidRPr="00F26E57">
        <w:rPr>
          <w:rFonts w:ascii="Arial Narrow" w:hAnsi="Arial Narrow"/>
          <w:sz w:val="20"/>
          <w:szCs w:val="20"/>
        </w:rPr>
        <w:t xml:space="preserve">and </w:t>
      </w:r>
      <w:r w:rsidRPr="00F26E57">
        <w:rPr>
          <w:rFonts w:ascii="Arial Narrow" w:hAnsi="Arial Narrow"/>
          <w:sz w:val="20"/>
          <w:szCs w:val="20"/>
        </w:rPr>
        <w:t xml:space="preserve">performance </w:t>
      </w:r>
      <w:r w:rsidR="001B1930" w:rsidRPr="00F26E57">
        <w:rPr>
          <w:rFonts w:ascii="Arial Narrow" w:hAnsi="Arial Narrow"/>
          <w:sz w:val="20"/>
          <w:szCs w:val="20"/>
        </w:rPr>
        <w:t>measures</w:t>
      </w:r>
      <w:r w:rsidR="0025304B" w:rsidRPr="00F26E57">
        <w:rPr>
          <w:rFonts w:ascii="Arial Narrow" w:hAnsi="Arial Narrow"/>
          <w:sz w:val="20"/>
          <w:szCs w:val="20"/>
        </w:rPr>
        <w:t xml:space="preserve"> can present </w:t>
      </w:r>
      <w:r w:rsidR="005D4E55" w:rsidRPr="00F26E57">
        <w:rPr>
          <w:rFonts w:ascii="Arial Narrow" w:hAnsi="Arial Narrow"/>
          <w:sz w:val="20"/>
          <w:szCs w:val="20"/>
        </w:rPr>
        <w:t xml:space="preserve">a steep learning curve for </w:t>
      </w:r>
      <w:r w:rsidR="008C36AC" w:rsidRPr="00F26E57">
        <w:rPr>
          <w:rFonts w:ascii="Arial Narrow" w:hAnsi="Arial Narrow"/>
          <w:sz w:val="20"/>
          <w:szCs w:val="20"/>
        </w:rPr>
        <w:t>traditional equity and fixed income investors</w:t>
      </w:r>
      <w:r w:rsidR="005D4E55" w:rsidRPr="00F26E57">
        <w:rPr>
          <w:rFonts w:ascii="Arial Narrow" w:hAnsi="Arial Narrow"/>
          <w:sz w:val="20"/>
          <w:szCs w:val="20"/>
        </w:rPr>
        <w:t>.</w:t>
      </w:r>
      <w:r w:rsidR="006A633C" w:rsidRPr="00F26E57">
        <w:rPr>
          <w:rFonts w:ascii="Arial Narrow" w:hAnsi="Arial Narrow"/>
          <w:sz w:val="20"/>
          <w:szCs w:val="20"/>
        </w:rPr>
        <w:t xml:space="preserve">  Indeed, private funds often </w:t>
      </w:r>
      <w:r w:rsidR="00C67354" w:rsidRPr="00F26E57">
        <w:rPr>
          <w:rFonts w:ascii="Arial Narrow" w:hAnsi="Arial Narrow"/>
          <w:sz w:val="20"/>
          <w:szCs w:val="20"/>
        </w:rPr>
        <w:t xml:space="preserve">focus on </w:t>
      </w:r>
      <w:r w:rsidR="006A633C" w:rsidRPr="00F26E57">
        <w:rPr>
          <w:rFonts w:ascii="Arial Narrow" w:hAnsi="Arial Narrow"/>
          <w:sz w:val="20"/>
          <w:szCs w:val="20"/>
        </w:rPr>
        <w:t>institution</w:t>
      </w:r>
      <w:r w:rsidR="00C67354" w:rsidRPr="00F26E57">
        <w:rPr>
          <w:rFonts w:ascii="Arial Narrow" w:hAnsi="Arial Narrow"/>
          <w:sz w:val="20"/>
          <w:szCs w:val="20"/>
        </w:rPr>
        <w:t xml:space="preserve">s for which they </w:t>
      </w:r>
      <w:r w:rsidR="001B1930" w:rsidRPr="00F26E57">
        <w:rPr>
          <w:rFonts w:ascii="Arial Narrow" w:hAnsi="Arial Narrow"/>
          <w:sz w:val="20"/>
          <w:szCs w:val="20"/>
        </w:rPr>
        <w:t>were originally</w:t>
      </w:r>
      <w:r w:rsidR="000B40D3" w:rsidRPr="00F26E57">
        <w:rPr>
          <w:rFonts w:ascii="Arial Narrow" w:hAnsi="Arial Narrow"/>
          <w:sz w:val="20"/>
          <w:szCs w:val="20"/>
        </w:rPr>
        <w:t xml:space="preserve"> developed</w:t>
      </w:r>
      <w:r w:rsidR="006A633C" w:rsidRPr="00F26E57">
        <w:rPr>
          <w:rFonts w:ascii="Arial Narrow" w:hAnsi="Arial Narrow"/>
          <w:sz w:val="20"/>
          <w:szCs w:val="20"/>
        </w:rPr>
        <w:t>.</w:t>
      </w:r>
    </w:p>
    <w:p w:rsidR="005D4E55" w:rsidRPr="00F26E57" w:rsidRDefault="005D4E55" w:rsidP="00152E2C">
      <w:pPr>
        <w:jc w:val="both"/>
        <w:rPr>
          <w:rFonts w:ascii="Arial Narrow" w:hAnsi="Arial Narrow"/>
          <w:sz w:val="20"/>
          <w:szCs w:val="20"/>
        </w:rPr>
      </w:pPr>
      <w:r w:rsidRPr="00F26E57">
        <w:rPr>
          <w:rFonts w:ascii="Arial Narrow" w:hAnsi="Arial Narrow"/>
          <w:sz w:val="20"/>
          <w:szCs w:val="20"/>
        </w:rPr>
        <w:t xml:space="preserve">In this edition of </w:t>
      </w:r>
      <w:proofErr w:type="spellStart"/>
      <w:r w:rsidRPr="00F26E57">
        <w:rPr>
          <w:rFonts w:ascii="Arial Narrow" w:hAnsi="Arial Narrow"/>
          <w:i/>
          <w:sz w:val="20"/>
          <w:szCs w:val="20"/>
        </w:rPr>
        <w:t>EIS</w:t>
      </w:r>
      <w:proofErr w:type="spellEnd"/>
      <w:r w:rsidRPr="00F26E57">
        <w:rPr>
          <w:rFonts w:ascii="Arial Narrow" w:hAnsi="Arial Narrow"/>
          <w:i/>
          <w:sz w:val="20"/>
          <w:szCs w:val="20"/>
        </w:rPr>
        <w:t xml:space="preserve"> Quarterly</w:t>
      </w:r>
      <w:r w:rsidRPr="00F26E57">
        <w:rPr>
          <w:rFonts w:ascii="Arial Narrow" w:hAnsi="Arial Narrow"/>
          <w:sz w:val="20"/>
          <w:szCs w:val="20"/>
        </w:rPr>
        <w:t xml:space="preserve">, we summarize </w:t>
      </w:r>
      <w:r w:rsidR="006A633C" w:rsidRPr="00F26E57">
        <w:rPr>
          <w:rFonts w:ascii="Arial Narrow" w:hAnsi="Arial Narrow"/>
          <w:sz w:val="20"/>
          <w:szCs w:val="20"/>
        </w:rPr>
        <w:t xml:space="preserve">some of the </w:t>
      </w:r>
      <w:r w:rsidR="001B1930" w:rsidRPr="00F26E57">
        <w:rPr>
          <w:rFonts w:ascii="Arial Narrow" w:hAnsi="Arial Narrow"/>
          <w:sz w:val="20"/>
          <w:szCs w:val="20"/>
        </w:rPr>
        <w:t>fundamental</w:t>
      </w:r>
      <w:r w:rsidR="0012381A" w:rsidRPr="00F26E57">
        <w:rPr>
          <w:rFonts w:ascii="Arial Narrow" w:hAnsi="Arial Narrow"/>
          <w:sz w:val="20"/>
          <w:szCs w:val="20"/>
        </w:rPr>
        <w:t xml:space="preserve"> </w:t>
      </w:r>
      <w:r w:rsidRPr="00F26E57">
        <w:rPr>
          <w:rFonts w:ascii="Arial Narrow" w:hAnsi="Arial Narrow"/>
          <w:sz w:val="20"/>
          <w:szCs w:val="20"/>
        </w:rPr>
        <w:t>topics</w:t>
      </w:r>
      <w:r w:rsidR="00DF4F9E" w:rsidRPr="00F26E57">
        <w:rPr>
          <w:rFonts w:ascii="Arial Narrow" w:hAnsi="Arial Narrow"/>
          <w:sz w:val="20"/>
          <w:szCs w:val="20"/>
        </w:rPr>
        <w:t xml:space="preserve"> </w:t>
      </w:r>
      <w:r w:rsidR="006A633C" w:rsidRPr="00F26E57">
        <w:rPr>
          <w:rFonts w:ascii="Arial Narrow" w:hAnsi="Arial Narrow"/>
          <w:sz w:val="20"/>
          <w:szCs w:val="20"/>
        </w:rPr>
        <w:t xml:space="preserve">that </w:t>
      </w:r>
      <w:r w:rsidR="00DF4F9E" w:rsidRPr="00F26E57">
        <w:rPr>
          <w:rFonts w:ascii="Arial Narrow" w:hAnsi="Arial Narrow"/>
          <w:sz w:val="20"/>
          <w:szCs w:val="20"/>
        </w:rPr>
        <w:t xml:space="preserve">we have </w:t>
      </w:r>
      <w:r w:rsidR="006A633C" w:rsidRPr="00F26E57">
        <w:rPr>
          <w:rFonts w:ascii="Arial Narrow" w:hAnsi="Arial Narrow"/>
          <w:sz w:val="20"/>
          <w:szCs w:val="20"/>
        </w:rPr>
        <w:t xml:space="preserve">discussed </w:t>
      </w:r>
      <w:r w:rsidR="00DF4F9E" w:rsidRPr="00F26E57">
        <w:rPr>
          <w:rFonts w:ascii="Arial Narrow" w:hAnsi="Arial Narrow"/>
          <w:sz w:val="20"/>
          <w:szCs w:val="20"/>
        </w:rPr>
        <w:t xml:space="preserve">with </w:t>
      </w:r>
      <w:r w:rsidR="00E063FC" w:rsidRPr="00F26E57">
        <w:rPr>
          <w:rFonts w:ascii="Arial Narrow" w:hAnsi="Arial Narrow"/>
          <w:sz w:val="20"/>
          <w:szCs w:val="20"/>
        </w:rPr>
        <w:t xml:space="preserve">qualified </w:t>
      </w:r>
      <w:r w:rsidR="00DF4F9E" w:rsidRPr="00F26E57">
        <w:rPr>
          <w:rFonts w:ascii="Arial Narrow" w:hAnsi="Arial Narrow"/>
          <w:sz w:val="20"/>
          <w:szCs w:val="20"/>
        </w:rPr>
        <w:t xml:space="preserve">colleagues </w:t>
      </w:r>
      <w:r w:rsidR="00C028F2" w:rsidRPr="00F26E57">
        <w:rPr>
          <w:rFonts w:ascii="Arial Narrow" w:hAnsi="Arial Narrow"/>
          <w:sz w:val="20"/>
          <w:szCs w:val="20"/>
        </w:rPr>
        <w:t>evaluating Alternative</w:t>
      </w:r>
      <w:r w:rsidR="001E57B1" w:rsidRPr="00F26E57">
        <w:rPr>
          <w:rFonts w:ascii="Arial Narrow" w:hAnsi="Arial Narrow"/>
          <w:sz w:val="20"/>
          <w:szCs w:val="20"/>
        </w:rPr>
        <w:t xml:space="preserve"> strategies </w:t>
      </w:r>
      <w:r w:rsidR="00C028F2" w:rsidRPr="00F26E57">
        <w:rPr>
          <w:rFonts w:ascii="Arial Narrow" w:hAnsi="Arial Narrow"/>
          <w:sz w:val="20"/>
          <w:szCs w:val="20"/>
        </w:rPr>
        <w:t xml:space="preserve">and potential </w:t>
      </w:r>
      <w:r w:rsidR="00350EAC" w:rsidRPr="00F26E57">
        <w:rPr>
          <w:rFonts w:ascii="Arial Narrow" w:hAnsi="Arial Narrow"/>
          <w:sz w:val="20"/>
          <w:szCs w:val="20"/>
        </w:rPr>
        <w:t xml:space="preserve">allocation </w:t>
      </w:r>
      <w:r w:rsidR="001E57B1" w:rsidRPr="00F26E57">
        <w:rPr>
          <w:rFonts w:ascii="Arial Narrow" w:hAnsi="Arial Narrow"/>
          <w:sz w:val="20"/>
          <w:szCs w:val="20"/>
        </w:rPr>
        <w:t xml:space="preserve">within </w:t>
      </w:r>
      <w:r w:rsidR="00350EAC" w:rsidRPr="00F26E57">
        <w:rPr>
          <w:rFonts w:ascii="Arial Narrow" w:hAnsi="Arial Narrow"/>
          <w:sz w:val="20"/>
          <w:szCs w:val="20"/>
        </w:rPr>
        <w:t>portfolios.</w:t>
      </w:r>
    </w:p>
    <w:p w:rsidR="0087799A" w:rsidRPr="00F26E57" w:rsidRDefault="0087799A" w:rsidP="00152E2C">
      <w:pPr>
        <w:jc w:val="both"/>
        <w:rPr>
          <w:rFonts w:ascii="Arial Narrow" w:hAnsi="Arial Narrow"/>
          <w:sz w:val="20"/>
          <w:szCs w:val="20"/>
        </w:rPr>
      </w:pPr>
      <w:r w:rsidRPr="00F26E57">
        <w:rPr>
          <w:rFonts w:ascii="Arial Narrow" w:hAnsi="Arial Narrow"/>
          <w:b/>
          <w:sz w:val="20"/>
          <w:szCs w:val="20"/>
        </w:rPr>
        <w:t>What Are the Alternatives?</w:t>
      </w:r>
    </w:p>
    <w:p w:rsidR="00DA225F" w:rsidRPr="00F26E57" w:rsidRDefault="00AC5E84" w:rsidP="00152E2C">
      <w:pPr>
        <w:jc w:val="both"/>
        <w:rPr>
          <w:rFonts w:ascii="Arial Narrow" w:hAnsi="Arial Narrow"/>
          <w:sz w:val="20"/>
          <w:szCs w:val="20"/>
        </w:rPr>
      </w:pPr>
      <w:r w:rsidRPr="00F26E57">
        <w:rPr>
          <w:rFonts w:ascii="Arial Narrow" w:hAnsi="Arial Narrow"/>
          <w:sz w:val="20"/>
          <w:szCs w:val="20"/>
        </w:rPr>
        <w:t xml:space="preserve">As the name suggests, Alternatives </w:t>
      </w:r>
      <w:r w:rsidR="000A3121" w:rsidRPr="00F26E57">
        <w:rPr>
          <w:rFonts w:ascii="Arial Narrow" w:hAnsi="Arial Narrow"/>
          <w:sz w:val="20"/>
          <w:szCs w:val="20"/>
        </w:rPr>
        <w:t xml:space="preserve">generally </w:t>
      </w:r>
      <w:r w:rsidRPr="00F26E57">
        <w:rPr>
          <w:rFonts w:ascii="Arial Narrow" w:hAnsi="Arial Narrow"/>
          <w:sz w:val="20"/>
          <w:szCs w:val="20"/>
        </w:rPr>
        <w:t>refer to investment</w:t>
      </w:r>
      <w:r w:rsidR="00FE090C" w:rsidRPr="00F26E57">
        <w:rPr>
          <w:rFonts w:ascii="Arial Narrow" w:hAnsi="Arial Narrow"/>
          <w:sz w:val="20"/>
          <w:szCs w:val="20"/>
        </w:rPr>
        <w:t xml:space="preserve"> classes </w:t>
      </w:r>
      <w:r w:rsidRPr="00F26E57">
        <w:rPr>
          <w:rFonts w:ascii="Arial Narrow" w:hAnsi="Arial Narrow"/>
          <w:sz w:val="20"/>
          <w:szCs w:val="20"/>
        </w:rPr>
        <w:t>that are less conventional</w:t>
      </w:r>
      <w:r w:rsidR="00442C50" w:rsidRPr="00F26E57">
        <w:rPr>
          <w:rFonts w:ascii="Arial Narrow" w:hAnsi="Arial Narrow"/>
          <w:sz w:val="20"/>
          <w:szCs w:val="20"/>
        </w:rPr>
        <w:t xml:space="preserve"> than traditional investments</w:t>
      </w:r>
      <w:r w:rsidR="00DA225F" w:rsidRPr="00F26E57">
        <w:rPr>
          <w:rFonts w:ascii="Arial Narrow" w:hAnsi="Arial Narrow"/>
          <w:sz w:val="20"/>
          <w:szCs w:val="20"/>
        </w:rPr>
        <w:t xml:space="preserve">.  </w:t>
      </w:r>
      <w:r w:rsidR="00FE090C" w:rsidRPr="00F26E57">
        <w:rPr>
          <w:rFonts w:ascii="Arial Narrow" w:hAnsi="Arial Narrow"/>
          <w:sz w:val="20"/>
          <w:szCs w:val="20"/>
        </w:rPr>
        <w:t>Simply</w:t>
      </w:r>
      <w:r w:rsidR="00C67354" w:rsidRPr="00F26E57">
        <w:rPr>
          <w:rFonts w:ascii="Arial Narrow" w:hAnsi="Arial Narrow"/>
          <w:sz w:val="20"/>
          <w:szCs w:val="20"/>
        </w:rPr>
        <w:t xml:space="preserve"> put</w:t>
      </w:r>
      <w:r w:rsidR="00DA225F" w:rsidRPr="00F26E57">
        <w:rPr>
          <w:rFonts w:ascii="Arial Narrow" w:hAnsi="Arial Narrow"/>
          <w:sz w:val="20"/>
          <w:szCs w:val="20"/>
        </w:rPr>
        <w:t xml:space="preserve">, these are investments that represent </w:t>
      </w:r>
      <w:r w:rsidR="00DA225F" w:rsidRPr="00F26E57">
        <w:rPr>
          <w:rFonts w:ascii="Arial Narrow" w:hAnsi="Arial Narrow"/>
          <w:i/>
          <w:sz w:val="20"/>
          <w:szCs w:val="20"/>
        </w:rPr>
        <w:t>alternatives</w:t>
      </w:r>
      <w:r w:rsidR="00DA225F" w:rsidRPr="00F26E57">
        <w:rPr>
          <w:rFonts w:ascii="Arial Narrow" w:hAnsi="Arial Narrow"/>
          <w:sz w:val="20"/>
          <w:szCs w:val="20"/>
        </w:rPr>
        <w:t xml:space="preserve"> to </w:t>
      </w:r>
      <w:r w:rsidR="000A3121" w:rsidRPr="00F26E57">
        <w:rPr>
          <w:rFonts w:ascii="Arial Narrow" w:hAnsi="Arial Narrow"/>
          <w:sz w:val="20"/>
          <w:szCs w:val="20"/>
        </w:rPr>
        <w:t>stocks, bonds, mutual funds</w:t>
      </w:r>
      <w:r w:rsidR="002D040F" w:rsidRPr="00F26E57">
        <w:rPr>
          <w:rFonts w:ascii="Arial Narrow" w:hAnsi="Arial Narrow"/>
          <w:sz w:val="20"/>
          <w:szCs w:val="20"/>
        </w:rPr>
        <w:t xml:space="preserve">, exchange-traded funds, </w:t>
      </w:r>
      <w:r w:rsidR="00DA225F" w:rsidRPr="00F26E57">
        <w:rPr>
          <w:rFonts w:ascii="Arial Narrow" w:hAnsi="Arial Narrow"/>
          <w:sz w:val="20"/>
          <w:szCs w:val="20"/>
        </w:rPr>
        <w:t xml:space="preserve">bank products </w:t>
      </w:r>
      <w:r w:rsidR="002D040F" w:rsidRPr="00F26E57">
        <w:rPr>
          <w:rFonts w:ascii="Arial Narrow" w:hAnsi="Arial Narrow"/>
          <w:sz w:val="20"/>
          <w:szCs w:val="20"/>
        </w:rPr>
        <w:t xml:space="preserve">and other, </w:t>
      </w:r>
      <w:r w:rsidR="005F54EF" w:rsidRPr="00F26E57">
        <w:rPr>
          <w:rFonts w:ascii="Arial Narrow" w:hAnsi="Arial Narrow"/>
          <w:sz w:val="20"/>
          <w:szCs w:val="20"/>
        </w:rPr>
        <w:t>more</w:t>
      </w:r>
      <w:r w:rsidR="002D040F" w:rsidRPr="00F26E57">
        <w:rPr>
          <w:rFonts w:ascii="Arial Narrow" w:hAnsi="Arial Narrow"/>
          <w:sz w:val="20"/>
          <w:szCs w:val="20"/>
        </w:rPr>
        <w:t xml:space="preserve"> </w:t>
      </w:r>
      <w:r w:rsidR="00FE090C" w:rsidRPr="00F26E57">
        <w:rPr>
          <w:rFonts w:ascii="Arial Narrow" w:hAnsi="Arial Narrow"/>
          <w:sz w:val="20"/>
          <w:szCs w:val="20"/>
        </w:rPr>
        <w:t xml:space="preserve">mainstream </w:t>
      </w:r>
      <w:r w:rsidR="002D040F" w:rsidRPr="00F26E57">
        <w:rPr>
          <w:rFonts w:ascii="Arial Narrow" w:hAnsi="Arial Narrow"/>
          <w:sz w:val="20"/>
          <w:szCs w:val="20"/>
        </w:rPr>
        <w:t>investment</w:t>
      </w:r>
      <w:r w:rsidR="00595764" w:rsidRPr="00F26E57">
        <w:rPr>
          <w:rFonts w:ascii="Arial Narrow" w:hAnsi="Arial Narrow"/>
          <w:sz w:val="20"/>
          <w:szCs w:val="20"/>
        </w:rPr>
        <w:t xml:space="preserve"> classes</w:t>
      </w:r>
      <w:r w:rsidR="002D040F" w:rsidRPr="00F26E57">
        <w:rPr>
          <w:rFonts w:ascii="Arial Narrow" w:hAnsi="Arial Narrow"/>
          <w:sz w:val="20"/>
          <w:szCs w:val="20"/>
        </w:rPr>
        <w:t xml:space="preserve">.  </w:t>
      </w:r>
    </w:p>
    <w:p w:rsidR="00C67354" w:rsidRPr="00F26E57" w:rsidRDefault="00784FE1" w:rsidP="00152E2C">
      <w:pPr>
        <w:jc w:val="both"/>
        <w:rPr>
          <w:rFonts w:ascii="Arial Narrow" w:hAnsi="Arial Narrow"/>
          <w:sz w:val="20"/>
          <w:szCs w:val="20"/>
        </w:rPr>
      </w:pPr>
      <w:r w:rsidRPr="00F26E57">
        <w:rPr>
          <w:rFonts w:ascii="Arial Narrow" w:hAnsi="Arial Narrow"/>
          <w:sz w:val="20"/>
          <w:szCs w:val="20"/>
        </w:rPr>
        <w:t xml:space="preserve">Simplifying </w:t>
      </w:r>
      <w:r w:rsidR="00EB380C" w:rsidRPr="00F26E57">
        <w:rPr>
          <w:rFonts w:ascii="Arial Narrow" w:hAnsi="Arial Narrow"/>
          <w:sz w:val="20"/>
          <w:szCs w:val="20"/>
        </w:rPr>
        <w:t>complex definitions</w:t>
      </w:r>
      <w:r w:rsidR="00442C50" w:rsidRPr="00F26E57">
        <w:rPr>
          <w:rFonts w:ascii="Arial Narrow" w:hAnsi="Arial Narrow"/>
          <w:sz w:val="20"/>
          <w:szCs w:val="20"/>
        </w:rPr>
        <w:t>, w</w:t>
      </w:r>
      <w:r w:rsidR="002D040F" w:rsidRPr="00F26E57">
        <w:rPr>
          <w:rFonts w:ascii="Arial Narrow" w:hAnsi="Arial Narrow"/>
          <w:sz w:val="20"/>
          <w:szCs w:val="20"/>
        </w:rPr>
        <w:t xml:space="preserve">e </w:t>
      </w:r>
      <w:r w:rsidR="004E5719" w:rsidRPr="00F26E57">
        <w:rPr>
          <w:rFonts w:ascii="Arial Narrow" w:hAnsi="Arial Narrow"/>
          <w:sz w:val="20"/>
          <w:szCs w:val="20"/>
        </w:rPr>
        <w:t xml:space="preserve">use </w:t>
      </w:r>
      <w:r w:rsidR="00DA225F" w:rsidRPr="00F26E57">
        <w:rPr>
          <w:rFonts w:ascii="Arial Narrow" w:hAnsi="Arial Narrow"/>
          <w:sz w:val="20"/>
          <w:szCs w:val="20"/>
        </w:rPr>
        <w:t>“</w:t>
      </w:r>
      <w:r w:rsidR="002D040F" w:rsidRPr="00F26E57">
        <w:rPr>
          <w:rFonts w:ascii="Arial Narrow" w:hAnsi="Arial Narrow"/>
          <w:sz w:val="20"/>
          <w:szCs w:val="20"/>
        </w:rPr>
        <w:t>Private Funds</w:t>
      </w:r>
      <w:r w:rsidR="00DA225F" w:rsidRPr="00F26E57">
        <w:rPr>
          <w:rFonts w:ascii="Arial Narrow" w:hAnsi="Arial Narrow"/>
          <w:sz w:val="20"/>
          <w:szCs w:val="20"/>
        </w:rPr>
        <w:t>”</w:t>
      </w:r>
      <w:r w:rsidR="002D040F" w:rsidRPr="00F26E57">
        <w:rPr>
          <w:rFonts w:ascii="Arial Narrow" w:hAnsi="Arial Narrow"/>
          <w:sz w:val="20"/>
          <w:szCs w:val="20"/>
        </w:rPr>
        <w:t xml:space="preserve"> and </w:t>
      </w:r>
      <w:r w:rsidR="00DA225F" w:rsidRPr="00F26E57">
        <w:rPr>
          <w:rFonts w:ascii="Arial Narrow" w:hAnsi="Arial Narrow"/>
          <w:sz w:val="20"/>
          <w:szCs w:val="20"/>
        </w:rPr>
        <w:t>“</w:t>
      </w:r>
      <w:r w:rsidR="002D040F" w:rsidRPr="00F26E57">
        <w:rPr>
          <w:rFonts w:ascii="Arial Narrow" w:hAnsi="Arial Narrow"/>
          <w:sz w:val="20"/>
          <w:szCs w:val="20"/>
        </w:rPr>
        <w:t>Alternatives</w:t>
      </w:r>
      <w:r w:rsidR="00DA225F" w:rsidRPr="00F26E57">
        <w:rPr>
          <w:rFonts w:ascii="Arial Narrow" w:hAnsi="Arial Narrow"/>
          <w:sz w:val="20"/>
          <w:szCs w:val="20"/>
        </w:rPr>
        <w:t>”</w:t>
      </w:r>
      <w:r w:rsidR="002D040F" w:rsidRPr="00F26E57">
        <w:rPr>
          <w:rFonts w:ascii="Arial Narrow" w:hAnsi="Arial Narrow"/>
          <w:sz w:val="20"/>
          <w:szCs w:val="20"/>
        </w:rPr>
        <w:t xml:space="preserve"> as</w:t>
      </w:r>
      <w:r w:rsidR="0082128C" w:rsidRPr="00F26E57">
        <w:rPr>
          <w:rFonts w:ascii="Arial Narrow" w:hAnsi="Arial Narrow"/>
          <w:sz w:val="20"/>
          <w:szCs w:val="20"/>
        </w:rPr>
        <w:t xml:space="preserve"> synonyms</w:t>
      </w:r>
      <w:r w:rsidR="00C0289C" w:rsidRPr="00F26E57">
        <w:rPr>
          <w:rFonts w:ascii="Arial Narrow" w:hAnsi="Arial Narrow"/>
          <w:sz w:val="20"/>
          <w:szCs w:val="20"/>
        </w:rPr>
        <w:t xml:space="preserve">.  </w:t>
      </w:r>
      <w:r w:rsidRPr="00F26E57">
        <w:rPr>
          <w:rFonts w:ascii="Arial Narrow" w:hAnsi="Arial Narrow"/>
          <w:sz w:val="20"/>
          <w:szCs w:val="20"/>
        </w:rPr>
        <w:t>In the report</w:t>
      </w:r>
      <w:r w:rsidR="00C0289C" w:rsidRPr="00F26E57">
        <w:rPr>
          <w:rFonts w:ascii="Arial Narrow" w:hAnsi="Arial Narrow"/>
          <w:sz w:val="20"/>
          <w:szCs w:val="20"/>
        </w:rPr>
        <w:t>, we</w:t>
      </w:r>
      <w:r w:rsidR="0082128C" w:rsidRPr="00F26E57">
        <w:rPr>
          <w:rFonts w:ascii="Arial Narrow" w:hAnsi="Arial Narrow"/>
          <w:sz w:val="20"/>
          <w:szCs w:val="20"/>
        </w:rPr>
        <w:t xml:space="preserve"> </w:t>
      </w:r>
      <w:r w:rsidR="004E5719" w:rsidRPr="00F26E57">
        <w:rPr>
          <w:rFonts w:ascii="Arial Narrow" w:hAnsi="Arial Narrow"/>
          <w:sz w:val="20"/>
          <w:szCs w:val="20"/>
        </w:rPr>
        <w:t xml:space="preserve">focus on </w:t>
      </w:r>
      <w:r w:rsidRPr="00F26E57">
        <w:rPr>
          <w:rFonts w:ascii="Arial Narrow" w:hAnsi="Arial Narrow"/>
          <w:sz w:val="20"/>
          <w:szCs w:val="20"/>
        </w:rPr>
        <w:t xml:space="preserve">private equity-style </w:t>
      </w:r>
      <w:r w:rsidR="00595764" w:rsidRPr="00F26E57">
        <w:rPr>
          <w:rFonts w:ascii="Arial Narrow" w:hAnsi="Arial Narrow"/>
          <w:sz w:val="20"/>
          <w:szCs w:val="20"/>
        </w:rPr>
        <w:t>alternative</w:t>
      </w:r>
      <w:r w:rsidRPr="00F26E57">
        <w:rPr>
          <w:rFonts w:ascii="Arial Narrow" w:hAnsi="Arial Narrow"/>
          <w:sz w:val="20"/>
          <w:szCs w:val="20"/>
        </w:rPr>
        <w:t>s</w:t>
      </w:r>
      <w:r w:rsidR="00EB380C" w:rsidRPr="00F26E57">
        <w:rPr>
          <w:rFonts w:ascii="Arial Narrow" w:hAnsi="Arial Narrow"/>
          <w:sz w:val="20"/>
          <w:szCs w:val="20"/>
        </w:rPr>
        <w:t xml:space="preserve"> </w:t>
      </w:r>
      <w:r w:rsidRPr="00F26E57">
        <w:rPr>
          <w:rFonts w:ascii="Arial Narrow" w:hAnsi="Arial Narrow"/>
          <w:sz w:val="20"/>
          <w:szCs w:val="20"/>
        </w:rPr>
        <w:t xml:space="preserve">funds </w:t>
      </w:r>
      <w:r w:rsidR="00EB380C" w:rsidRPr="00F26E57">
        <w:rPr>
          <w:rFonts w:ascii="Arial Narrow" w:hAnsi="Arial Narrow"/>
          <w:sz w:val="20"/>
          <w:szCs w:val="20"/>
        </w:rPr>
        <w:t>that</w:t>
      </w:r>
      <w:r w:rsidR="00C67354" w:rsidRPr="00F26E57">
        <w:rPr>
          <w:rFonts w:ascii="Arial Narrow" w:hAnsi="Arial Narrow"/>
          <w:sz w:val="20"/>
          <w:szCs w:val="20"/>
        </w:rPr>
        <w:t xml:space="preserve"> are:</w:t>
      </w:r>
    </w:p>
    <w:p w:rsidR="00C67354" w:rsidRPr="00F26E57" w:rsidRDefault="00595764" w:rsidP="00134321">
      <w:pPr>
        <w:jc w:val="both"/>
        <w:rPr>
          <w:rFonts w:ascii="Arial Narrow" w:hAnsi="Arial Narrow"/>
          <w:sz w:val="20"/>
          <w:szCs w:val="20"/>
        </w:rPr>
      </w:pPr>
      <w:r w:rsidRPr="00F26E57">
        <w:rPr>
          <w:rFonts w:ascii="Arial Narrow" w:hAnsi="Arial Narrow"/>
          <w:sz w:val="20"/>
          <w:szCs w:val="20"/>
        </w:rPr>
        <w:t>1</w:t>
      </w:r>
      <w:r w:rsidR="00C67354" w:rsidRPr="00F26E57">
        <w:rPr>
          <w:rFonts w:ascii="Arial Narrow" w:hAnsi="Arial Narrow"/>
          <w:sz w:val="20"/>
          <w:szCs w:val="20"/>
        </w:rPr>
        <w:t>)</w:t>
      </w:r>
      <w:r w:rsidR="004E5719" w:rsidRPr="00F26E57">
        <w:rPr>
          <w:rFonts w:ascii="Arial Narrow" w:hAnsi="Arial Narrow"/>
          <w:sz w:val="20"/>
          <w:szCs w:val="20"/>
        </w:rPr>
        <w:t xml:space="preserve"> </w:t>
      </w:r>
      <w:proofErr w:type="gramStart"/>
      <w:r w:rsidR="00D37540" w:rsidRPr="00F26E57">
        <w:rPr>
          <w:rFonts w:ascii="Arial Narrow" w:hAnsi="Arial Narrow"/>
          <w:sz w:val="20"/>
          <w:szCs w:val="20"/>
        </w:rPr>
        <w:t>generally</w:t>
      </w:r>
      <w:proofErr w:type="gramEnd"/>
      <w:r w:rsidR="00D37540" w:rsidRPr="00F26E57">
        <w:rPr>
          <w:rFonts w:ascii="Arial Narrow" w:hAnsi="Arial Narrow"/>
          <w:sz w:val="20"/>
          <w:szCs w:val="20"/>
        </w:rPr>
        <w:t xml:space="preserve"> illiquid</w:t>
      </w:r>
      <w:r w:rsidR="001B1930" w:rsidRPr="00F26E57">
        <w:rPr>
          <w:rFonts w:ascii="Arial Narrow" w:hAnsi="Arial Narrow"/>
          <w:sz w:val="20"/>
          <w:szCs w:val="20"/>
        </w:rPr>
        <w:t xml:space="preserve">, with strategies </w:t>
      </w:r>
      <w:r w:rsidR="006A633C" w:rsidRPr="00F26E57">
        <w:rPr>
          <w:rFonts w:ascii="Arial Narrow" w:hAnsi="Arial Narrow"/>
          <w:sz w:val="20"/>
          <w:szCs w:val="20"/>
        </w:rPr>
        <w:t xml:space="preserve">designed for investment horizons of </w:t>
      </w:r>
      <w:r w:rsidR="001B1930" w:rsidRPr="00F26E57">
        <w:rPr>
          <w:rFonts w:ascii="Arial Narrow" w:hAnsi="Arial Narrow"/>
          <w:sz w:val="20"/>
          <w:szCs w:val="20"/>
        </w:rPr>
        <w:t xml:space="preserve">up to </w:t>
      </w:r>
      <w:r w:rsidR="006A633C" w:rsidRPr="00F26E57">
        <w:rPr>
          <w:rFonts w:ascii="Arial Narrow" w:hAnsi="Arial Narrow"/>
          <w:sz w:val="20"/>
          <w:szCs w:val="20"/>
        </w:rPr>
        <w:t xml:space="preserve">a </w:t>
      </w:r>
      <w:r w:rsidR="00C0289C" w:rsidRPr="00F26E57">
        <w:rPr>
          <w:rFonts w:ascii="Arial Narrow" w:hAnsi="Arial Narrow"/>
          <w:sz w:val="20"/>
          <w:szCs w:val="20"/>
        </w:rPr>
        <w:t>decade or more</w:t>
      </w:r>
      <w:r w:rsidR="00D37540" w:rsidRPr="00F26E57">
        <w:rPr>
          <w:rFonts w:ascii="Arial Narrow" w:hAnsi="Arial Narrow"/>
          <w:sz w:val="20"/>
          <w:szCs w:val="20"/>
        </w:rPr>
        <w:t>, and</w:t>
      </w:r>
    </w:p>
    <w:p w:rsidR="0082128C" w:rsidRPr="00F26E57" w:rsidRDefault="00D37540" w:rsidP="00134321">
      <w:pPr>
        <w:jc w:val="both"/>
        <w:rPr>
          <w:rFonts w:ascii="Arial Narrow" w:hAnsi="Arial Narrow"/>
          <w:sz w:val="20"/>
          <w:szCs w:val="20"/>
        </w:rPr>
      </w:pPr>
      <w:r w:rsidRPr="00F26E57">
        <w:rPr>
          <w:rFonts w:ascii="Arial Narrow" w:hAnsi="Arial Narrow"/>
          <w:sz w:val="20"/>
          <w:szCs w:val="20"/>
        </w:rPr>
        <w:t xml:space="preserve">2) </w:t>
      </w:r>
      <w:proofErr w:type="gramStart"/>
      <w:r w:rsidR="00EB380C" w:rsidRPr="00F26E57">
        <w:rPr>
          <w:rFonts w:ascii="Arial Narrow" w:hAnsi="Arial Narrow"/>
          <w:sz w:val="20"/>
          <w:szCs w:val="20"/>
        </w:rPr>
        <w:t>restricted</w:t>
      </w:r>
      <w:proofErr w:type="gramEnd"/>
      <w:r w:rsidR="00EB380C" w:rsidRPr="00F26E57">
        <w:rPr>
          <w:rFonts w:ascii="Arial Narrow" w:hAnsi="Arial Narrow"/>
          <w:sz w:val="20"/>
          <w:szCs w:val="20"/>
        </w:rPr>
        <w:t xml:space="preserve"> to investors with </w:t>
      </w:r>
      <w:r w:rsidR="00595764" w:rsidRPr="00F26E57">
        <w:rPr>
          <w:rFonts w:ascii="Arial Narrow" w:hAnsi="Arial Narrow"/>
          <w:sz w:val="20"/>
          <w:szCs w:val="20"/>
        </w:rPr>
        <w:t xml:space="preserve">net worth, </w:t>
      </w:r>
      <w:r w:rsidR="00720418" w:rsidRPr="00F26E57">
        <w:rPr>
          <w:rFonts w:ascii="Arial Narrow" w:hAnsi="Arial Narrow"/>
          <w:sz w:val="20"/>
          <w:szCs w:val="20"/>
        </w:rPr>
        <w:t>liquidity</w:t>
      </w:r>
      <w:r w:rsidR="006A633C" w:rsidRPr="00F26E57">
        <w:rPr>
          <w:rFonts w:ascii="Arial Narrow" w:hAnsi="Arial Narrow"/>
          <w:sz w:val="20"/>
          <w:szCs w:val="20"/>
        </w:rPr>
        <w:t xml:space="preserve">, </w:t>
      </w:r>
      <w:r w:rsidRPr="00F26E57">
        <w:rPr>
          <w:rFonts w:ascii="Arial Narrow" w:hAnsi="Arial Narrow"/>
          <w:sz w:val="20"/>
          <w:szCs w:val="20"/>
        </w:rPr>
        <w:t xml:space="preserve">and </w:t>
      </w:r>
      <w:r w:rsidR="00C67354" w:rsidRPr="00F26E57">
        <w:rPr>
          <w:rFonts w:ascii="Arial Narrow" w:hAnsi="Arial Narrow"/>
          <w:sz w:val="20"/>
          <w:szCs w:val="20"/>
        </w:rPr>
        <w:t xml:space="preserve">experience </w:t>
      </w:r>
      <w:r w:rsidR="004E5719" w:rsidRPr="00F26E57">
        <w:rPr>
          <w:rFonts w:ascii="Arial Narrow" w:hAnsi="Arial Narrow"/>
          <w:sz w:val="20"/>
          <w:szCs w:val="20"/>
        </w:rPr>
        <w:t>required by applicable regulations</w:t>
      </w:r>
      <w:r w:rsidR="00595764" w:rsidRPr="00F26E57">
        <w:rPr>
          <w:rFonts w:ascii="Arial Narrow" w:hAnsi="Arial Narrow"/>
          <w:sz w:val="20"/>
          <w:szCs w:val="20"/>
        </w:rPr>
        <w:t>.</w:t>
      </w:r>
    </w:p>
    <w:p w:rsidR="0070356B" w:rsidRPr="00F26E57" w:rsidRDefault="00C0289C" w:rsidP="00152E2C">
      <w:pPr>
        <w:jc w:val="both"/>
        <w:rPr>
          <w:rFonts w:ascii="Arial Narrow" w:hAnsi="Arial Narrow"/>
          <w:sz w:val="20"/>
          <w:szCs w:val="20"/>
        </w:rPr>
      </w:pPr>
      <w:r w:rsidRPr="00F26E57">
        <w:rPr>
          <w:rFonts w:ascii="Arial Narrow" w:hAnsi="Arial Narrow"/>
          <w:sz w:val="20"/>
          <w:szCs w:val="20"/>
        </w:rPr>
        <w:t xml:space="preserve">Alternatives </w:t>
      </w:r>
      <w:r w:rsidR="006A633C" w:rsidRPr="00F26E57">
        <w:rPr>
          <w:rFonts w:ascii="Arial Narrow" w:hAnsi="Arial Narrow"/>
          <w:sz w:val="20"/>
          <w:szCs w:val="20"/>
        </w:rPr>
        <w:t xml:space="preserve">as a general class of investment </w:t>
      </w:r>
      <w:r w:rsidR="004E5719" w:rsidRPr="00F26E57">
        <w:rPr>
          <w:rFonts w:ascii="Arial Narrow" w:hAnsi="Arial Narrow"/>
          <w:sz w:val="20"/>
          <w:szCs w:val="20"/>
        </w:rPr>
        <w:t xml:space="preserve">also </w:t>
      </w:r>
      <w:r w:rsidR="006A633C" w:rsidRPr="00F26E57">
        <w:rPr>
          <w:rFonts w:ascii="Arial Narrow" w:hAnsi="Arial Narrow"/>
          <w:sz w:val="20"/>
          <w:szCs w:val="20"/>
        </w:rPr>
        <w:t xml:space="preserve">can </w:t>
      </w:r>
      <w:r w:rsidR="0070356B" w:rsidRPr="00F26E57">
        <w:rPr>
          <w:rFonts w:ascii="Arial Narrow" w:hAnsi="Arial Narrow"/>
          <w:sz w:val="20"/>
          <w:szCs w:val="20"/>
        </w:rPr>
        <w:t xml:space="preserve">include </w:t>
      </w:r>
      <w:r w:rsidR="0070356B" w:rsidRPr="00F26E57">
        <w:rPr>
          <w:rFonts w:ascii="Arial Narrow" w:hAnsi="Arial Narrow"/>
          <w:i/>
          <w:sz w:val="20"/>
          <w:szCs w:val="20"/>
        </w:rPr>
        <w:t>liquid</w:t>
      </w:r>
      <w:r w:rsidR="0070356B" w:rsidRPr="00F26E57">
        <w:rPr>
          <w:rFonts w:ascii="Arial Narrow" w:hAnsi="Arial Narrow"/>
          <w:sz w:val="20"/>
          <w:szCs w:val="20"/>
        </w:rPr>
        <w:t xml:space="preserve"> </w:t>
      </w:r>
      <w:r w:rsidR="004E5719" w:rsidRPr="00F26E57">
        <w:rPr>
          <w:rFonts w:ascii="Arial Narrow" w:hAnsi="Arial Narrow"/>
          <w:sz w:val="20"/>
          <w:szCs w:val="20"/>
        </w:rPr>
        <w:t xml:space="preserve">fund </w:t>
      </w:r>
      <w:r w:rsidR="0070356B" w:rsidRPr="00F26E57">
        <w:rPr>
          <w:rFonts w:ascii="Arial Narrow" w:hAnsi="Arial Narrow"/>
          <w:sz w:val="20"/>
          <w:szCs w:val="20"/>
        </w:rPr>
        <w:t xml:space="preserve">investments (“liquid alternatives”) </w:t>
      </w:r>
      <w:r w:rsidR="004C4039" w:rsidRPr="00F26E57">
        <w:rPr>
          <w:rFonts w:ascii="Arial Narrow" w:hAnsi="Arial Narrow"/>
          <w:sz w:val="20"/>
          <w:szCs w:val="20"/>
        </w:rPr>
        <w:t xml:space="preserve">as well </w:t>
      </w:r>
      <w:r w:rsidR="004A35F9" w:rsidRPr="00F26E57">
        <w:rPr>
          <w:rFonts w:ascii="Arial Narrow" w:hAnsi="Arial Narrow"/>
          <w:sz w:val="20"/>
          <w:szCs w:val="20"/>
        </w:rPr>
        <w:t>as real estate</w:t>
      </w:r>
      <w:r w:rsidR="004C4039" w:rsidRPr="00F26E57">
        <w:rPr>
          <w:rFonts w:ascii="Arial Narrow" w:hAnsi="Arial Narrow"/>
          <w:sz w:val="20"/>
          <w:szCs w:val="20"/>
        </w:rPr>
        <w:t xml:space="preserve">, </w:t>
      </w:r>
      <w:r w:rsidR="004A35F9" w:rsidRPr="00F26E57">
        <w:rPr>
          <w:rFonts w:ascii="Arial Narrow" w:hAnsi="Arial Narrow"/>
          <w:sz w:val="20"/>
          <w:szCs w:val="20"/>
        </w:rPr>
        <w:t>commodities</w:t>
      </w:r>
      <w:r w:rsidR="004C4039" w:rsidRPr="00F26E57">
        <w:rPr>
          <w:rFonts w:ascii="Arial Narrow" w:hAnsi="Arial Narrow"/>
          <w:sz w:val="20"/>
          <w:szCs w:val="20"/>
        </w:rPr>
        <w:t xml:space="preserve"> and other</w:t>
      </w:r>
      <w:r w:rsidR="001935F6" w:rsidRPr="00F26E57">
        <w:rPr>
          <w:rFonts w:ascii="Arial Narrow" w:hAnsi="Arial Narrow"/>
          <w:sz w:val="20"/>
          <w:szCs w:val="20"/>
        </w:rPr>
        <w:t xml:space="preserve"> types of investments and asset classes</w:t>
      </w:r>
      <w:r w:rsidR="00C67354" w:rsidRPr="00F26E57">
        <w:rPr>
          <w:rFonts w:ascii="Arial Narrow" w:hAnsi="Arial Narrow"/>
          <w:sz w:val="20"/>
          <w:szCs w:val="20"/>
        </w:rPr>
        <w:t xml:space="preserve"> </w:t>
      </w:r>
      <w:r w:rsidR="001E0386" w:rsidRPr="00F26E57">
        <w:rPr>
          <w:rFonts w:ascii="Arial Narrow" w:hAnsi="Arial Narrow"/>
          <w:sz w:val="20"/>
          <w:szCs w:val="20"/>
        </w:rPr>
        <w:t>—</w:t>
      </w:r>
      <w:r w:rsidR="00C67354" w:rsidRPr="00F26E57">
        <w:rPr>
          <w:rFonts w:ascii="Arial Narrow" w:hAnsi="Arial Narrow"/>
          <w:sz w:val="20"/>
          <w:szCs w:val="20"/>
        </w:rPr>
        <w:t xml:space="preserve"> </w:t>
      </w:r>
      <w:r w:rsidR="001935F6" w:rsidRPr="00F26E57">
        <w:rPr>
          <w:rFonts w:ascii="Arial Narrow" w:hAnsi="Arial Narrow"/>
          <w:sz w:val="20"/>
          <w:szCs w:val="20"/>
        </w:rPr>
        <w:t xml:space="preserve">each a potential topic </w:t>
      </w:r>
      <w:r w:rsidR="004C4039" w:rsidRPr="00F26E57">
        <w:rPr>
          <w:rFonts w:ascii="Arial Narrow" w:hAnsi="Arial Narrow"/>
          <w:sz w:val="20"/>
          <w:szCs w:val="20"/>
        </w:rPr>
        <w:t>for future discussion</w:t>
      </w:r>
      <w:r w:rsidR="001E0386" w:rsidRPr="00F26E57">
        <w:rPr>
          <w:rFonts w:ascii="Arial Narrow" w:hAnsi="Arial Narrow"/>
          <w:sz w:val="20"/>
          <w:szCs w:val="20"/>
        </w:rPr>
        <w:t>.</w:t>
      </w:r>
    </w:p>
    <w:p w:rsidR="006F66DB" w:rsidRPr="00F26E57" w:rsidRDefault="004C4039" w:rsidP="00152E2C">
      <w:pPr>
        <w:jc w:val="both"/>
        <w:rPr>
          <w:rFonts w:ascii="Arial Narrow" w:hAnsi="Arial Narrow"/>
          <w:b/>
          <w:sz w:val="20"/>
          <w:szCs w:val="20"/>
        </w:rPr>
      </w:pPr>
      <w:r w:rsidRPr="00F26E57">
        <w:rPr>
          <w:rFonts w:ascii="Arial Narrow" w:hAnsi="Arial Narrow"/>
          <w:b/>
          <w:sz w:val="20"/>
          <w:szCs w:val="20"/>
        </w:rPr>
        <w:t xml:space="preserve">Organization </w:t>
      </w:r>
    </w:p>
    <w:p w:rsidR="001935F6" w:rsidRPr="00F26E57" w:rsidRDefault="00F667C3" w:rsidP="00152E2C">
      <w:pPr>
        <w:jc w:val="both"/>
        <w:rPr>
          <w:rFonts w:ascii="Arial Narrow" w:hAnsi="Arial Narrow"/>
          <w:sz w:val="20"/>
          <w:szCs w:val="20"/>
        </w:rPr>
      </w:pPr>
      <w:r w:rsidRPr="00F26E57">
        <w:rPr>
          <w:rFonts w:ascii="Arial Narrow" w:hAnsi="Arial Narrow"/>
          <w:sz w:val="20"/>
          <w:szCs w:val="20"/>
        </w:rPr>
        <w:t>Generally speaking, m</w:t>
      </w:r>
      <w:r w:rsidR="00B01C3F" w:rsidRPr="00F26E57">
        <w:rPr>
          <w:rFonts w:ascii="Arial Narrow" w:hAnsi="Arial Narrow"/>
          <w:sz w:val="20"/>
          <w:szCs w:val="20"/>
        </w:rPr>
        <w:t xml:space="preserve">utual funds </w:t>
      </w:r>
      <w:r w:rsidRPr="00F26E57">
        <w:rPr>
          <w:rFonts w:ascii="Arial Narrow" w:hAnsi="Arial Narrow"/>
          <w:sz w:val="20"/>
          <w:szCs w:val="20"/>
        </w:rPr>
        <w:t>are investment companies formed as corporations.  By contrast</w:t>
      </w:r>
      <w:r w:rsidR="00B01C3F" w:rsidRPr="00F26E57">
        <w:rPr>
          <w:rFonts w:ascii="Arial Narrow" w:hAnsi="Arial Narrow"/>
          <w:sz w:val="20"/>
          <w:szCs w:val="20"/>
        </w:rPr>
        <w:t>, p</w:t>
      </w:r>
      <w:r w:rsidR="001935F6" w:rsidRPr="00F26E57">
        <w:rPr>
          <w:rFonts w:ascii="Arial Narrow" w:hAnsi="Arial Narrow"/>
          <w:sz w:val="20"/>
          <w:szCs w:val="20"/>
        </w:rPr>
        <w:t xml:space="preserve">rivate funds </w:t>
      </w:r>
      <w:r w:rsidRPr="00F26E57">
        <w:rPr>
          <w:rFonts w:ascii="Arial Narrow" w:hAnsi="Arial Narrow"/>
          <w:sz w:val="20"/>
          <w:szCs w:val="20"/>
        </w:rPr>
        <w:t xml:space="preserve">typically </w:t>
      </w:r>
      <w:r w:rsidR="001935F6" w:rsidRPr="00F26E57">
        <w:rPr>
          <w:rFonts w:ascii="Arial Narrow" w:hAnsi="Arial Narrow"/>
          <w:sz w:val="20"/>
          <w:szCs w:val="20"/>
        </w:rPr>
        <w:t xml:space="preserve">are </w:t>
      </w:r>
      <w:r w:rsidR="00CA4D3D" w:rsidRPr="00F26E57">
        <w:rPr>
          <w:rFonts w:ascii="Arial Narrow" w:hAnsi="Arial Narrow"/>
          <w:sz w:val="20"/>
          <w:szCs w:val="20"/>
        </w:rPr>
        <w:t xml:space="preserve">organized </w:t>
      </w:r>
      <w:r w:rsidR="001935F6" w:rsidRPr="00F26E57">
        <w:rPr>
          <w:rFonts w:ascii="Arial Narrow" w:hAnsi="Arial Narrow"/>
          <w:sz w:val="20"/>
          <w:szCs w:val="20"/>
        </w:rPr>
        <w:t>as limited partnerships</w:t>
      </w:r>
      <w:r w:rsidR="00CA4D3D" w:rsidRPr="00F26E57">
        <w:rPr>
          <w:rFonts w:ascii="Arial Narrow" w:hAnsi="Arial Narrow"/>
          <w:sz w:val="20"/>
          <w:szCs w:val="20"/>
        </w:rPr>
        <w:t>,</w:t>
      </w:r>
      <w:r w:rsidR="00B01C3F" w:rsidRPr="00F26E57">
        <w:rPr>
          <w:rFonts w:ascii="Arial Narrow" w:hAnsi="Arial Narrow"/>
          <w:sz w:val="20"/>
          <w:szCs w:val="20"/>
        </w:rPr>
        <w:t xml:space="preserve"> </w:t>
      </w:r>
      <w:r w:rsidR="00CA4D3D" w:rsidRPr="00F26E57">
        <w:rPr>
          <w:rFonts w:ascii="Arial Narrow" w:hAnsi="Arial Narrow"/>
          <w:sz w:val="20"/>
          <w:szCs w:val="20"/>
        </w:rPr>
        <w:t xml:space="preserve">commonly </w:t>
      </w:r>
      <w:r w:rsidR="00B01C3F" w:rsidRPr="00F26E57">
        <w:rPr>
          <w:rFonts w:ascii="Arial Narrow" w:hAnsi="Arial Narrow"/>
          <w:sz w:val="20"/>
          <w:szCs w:val="20"/>
        </w:rPr>
        <w:t>referred to as LPs</w:t>
      </w:r>
      <w:r w:rsidR="006A633C" w:rsidRPr="00F26E57">
        <w:rPr>
          <w:rFonts w:ascii="Arial Narrow" w:hAnsi="Arial Narrow"/>
          <w:sz w:val="20"/>
          <w:szCs w:val="20"/>
        </w:rPr>
        <w:t xml:space="preserve">.  </w:t>
      </w:r>
      <w:r w:rsidRPr="00F26E57">
        <w:rPr>
          <w:rFonts w:ascii="Arial Narrow" w:hAnsi="Arial Narrow"/>
          <w:sz w:val="20"/>
          <w:szCs w:val="20"/>
        </w:rPr>
        <w:t>P</w:t>
      </w:r>
      <w:r w:rsidR="00B01C3F" w:rsidRPr="00F26E57">
        <w:rPr>
          <w:rFonts w:ascii="Arial Narrow" w:hAnsi="Arial Narrow"/>
          <w:sz w:val="20"/>
          <w:szCs w:val="20"/>
        </w:rPr>
        <w:t xml:space="preserve">rivate funds often are formed </w:t>
      </w:r>
      <w:r w:rsidR="00ED3C8C" w:rsidRPr="00F26E57">
        <w:rPr>
          <w:rFonts w:ascii="Arial Narrow" w:hAnsi="Arial Narrow"/>
          <w:sz w:val="20"/>
          <w:szCs w:val="20"/>
        </w:rPr>
        <w:t xml:space="preserve">to enable qualified investors </w:t>
      </w:r>
      <w:r w:rsidR="0026607D" w:rsidRPr="00F26E57">
        <w:rPr>
          <w:rFonts w:ascii="Arial Narrow" w:hAnsi="Arial Narrow"/>
          <w:sz w:val="20"/>
          <w:szCs w:val="20"/>
        </w:rPr>
        <w:t>(</w:t>
      </w:r>
      <w:r w:rsidR="00B01C3F" w:rsidRPr="00F26E57">
        <w:rPr>
          <w:rFonts w:ascii="Arial Narrow" w:hAnsi="Arial Narrow"/>
          <w:sz w:val="20"/>
          <w:szCs w:val="20"/>
        </w:rPr>
        <w:t xml:space="preserve">typically </w:t>
      </w:r>
      <w:r w:rsidR="0026607D" w:rsidRPr="00F26E57">
        <w:rPr>
          <w:rFonts w:ascii="Arial Narrow" w:hAnsi="Arial Narrow"/>
          <w:sz w:val="20"/>
          <w:szCs w:val="20"/>
        </w:rPr>
        <w:t xml:space="preserve">limited partners) </w:t>
      </w:r>
      <w:r w:rsidR="00ED3C8C" w:rsidRPr="00F26E57">
        <w:rPr>
          <w:rFonts w:ascii="Arial Narrow" w:hAnsi="Arial Narrow"/>
          <w:sz w:val="20"/>
          <w:szCs w:val="20"/>
        </w:rPr>
        <w:t>to pool their ca</w:t>
      </w:r>
      <w:r w:rsidR="00B01C3F" w:rsidRPr="00F26E57">
        <w:rPr>
          <w:rFonts w:ascii="Arial Narrow" w:hAnsi="Arial Narrow"/>
          <w:sz w:val="20"/>
          <w:szCs w:val="20"/>
        </w:rPr>
        <w:t xml:space="preserve">pital for the purpose of making </w:t>
      </w:r>
      <w:r w:rsidR="001B1930" w:rsidRPr="00F26E57">
        <w:rPr>
          <w:rFonts w:ascii="Arial Narrow" w:hAnsi="Arial Narrow"/>
          <w:sz w:val="20"/>
          <w:szCs w:val="20"/>
        </w:rPr>
        <w:t xml:space="preserve">specific types of </w:t>
      </w:r>
      <w:r w:rsidR="00ED3C8C" w:rsidRPr="00F26E57">
        <w:rPr>
          <w:rFonts w:ascii="Arial Narrow" w:hAnsi="Arial Narrow"/>
          <w:sz w:val="20"/>
          <w:szCs w:val="20"/>
        </w:rPr>
        <w:t xml:space="preserve">investments </w:t>
      </w:r>
      <w:r w:rsidR="0026607D" w:rsidRPr="00F26E57">
        <w:rPr>
          <w:rFonts w:ascii="Arial Narrow" w:hAnsi="Arial Narrow"/>
          <w:sz w:val="20"/>
          <w:szCs w:val="20"/>
        </w:rPr>
        <w:t>under the direction of a fund manager (</w:t>
      </w:r>
      <w:r w:rsidR="00B01C3F" w:rsidRPr="00F26E57">
        <w:rPr>
          <w:rFonts w:ascii="Arial Narrow" w:hAnsi="Arial Narrow"/>
          <w:sz w:val="20"/>
          <w:szCs w:val="20"/>
        </w:rPr>
        <w:t xml:space="preserve">typically the </w:t>
      </w:r>
      <w:r w:rsidR="0026607D" w:rsidRPr="00F26E57">
        <w:rPr>
          <w:rFonts w:ascii="Arial Narrow" w:hAnsi="Arial Narrow"/>
          <w:sz w:val="20"/>
          <w:szCs w:val="20"/>
        </w:rPr>
        <w:t>general partner.)</w:t>
      </w:r>
    </w:p>
    <w:p w:rsidR="001935F6" w:rsidRPr="00F26E57" w:rsidRDefault="00036114" w:rsidP="00152E2C">
      <w:pPr>
        <w:jc w:val="both"/>
        <w:rPr>
          <w:rFonts w:ascii="Arial Narrow" w:hAnsi="Arial Narrow"/>
          <w:sz w:val="20"/>
          <w:szCs w:val="20"/>
        </w:rPr>
      </w:pPr>
      <w:r w:rsidRPr="00F26E57">
        <w:rPr>
          <w:rFonts w:ascii="Arial Narrow" w:hAnsi="Arial Narrow"/>
          <w:sz w:val="20"/>
          <w:szCs w:val="20"/>
        </w:rPr>
        <w:t xml:space="preserve">The </w:t>
      </w:r>
      <w:r w:rsidR="00F667C3" w:rsidRPr="00F26E57">
        <w:rPr>
          <w:rFonts w:ascii="Arial Narrow" w:hAnsi="Arial Narrow"/>
          <w:sz w:val="20"/>
          <w:szCs w:val="20"/>
        </w:rPr>
        <w:t xml:space="preserve">partnership structure </w:t>
      </w:r>
      <w:r w:rsidRPr="00F26E57">
        <w:rPr>
          <w:rFonts w:ascii="Arial Narrow" w:hAnsi="Arial Narrow"/>
          <w:sz w:val="20"/>
          <w:szCs w:val="20"/>
        </w:rPr>
        <w:t xml:space="preserve">common </w:t>
      </w:r>
      <w:r w:rsidR="001B1930" w:rsidRPr="00F26E57">
        <w:rPr>
          <w:rFonts w:ascii="Arial Narrow" w:hAnsi="Arial Narrow"/>
          <w:sz w:val="20"/>
          <w:szCs w:val="20"/>
        </w:rPr>
        <w:t>to</w:t>
      </w:r>
      <w:r w:rsidRPr="00F26E57">
        <w:rPr>
          <w:rFonts w:ascii="Arial Narrow" w:hAnsi="Arial Narrow"/>
          <w:sz w:val="20"/>
          <w:szCs w:val="20"/>
        </w:rPr>
        <w:t xml:space="preserve"> private funds </w:t>
      </w:r>
      <w:r w:rsidR="00CA4D3D" w:rsidRPr="00F26E57">
        <w:rPr>
          <w:rFonts w:ascii="Arial Narrow" w:hAnsi="Arial Narrow"/>
          <w:sz w:val="20"/>
          <w:szCs w:val="20"/>
        </w:rPr>
        <w:t>enable</w:t>
      </w:r>
      <w:r w:rsidR="00720418" w:rsidRPr="00F26E57">
        <w:rPr>
          <w:rFonts w:ascii="Arial Narrow" w:hAnsi="Arial Narrow"/>
          <w:sz w:val="20"/>
          <w:szCs w:val="20"/>
        </w:rPr>
        <w:t>s</w:t>
      </w:r>
      <w:r w:rsidR="00CA4D3D" w:rsidRPr="00F26E57">
        <w:rPr>
          <w:rFonts w:ascii="Arial Narrow" w:hAnsi="Arial Narrow"/>
          <w:sz w:val="20"/>
          <w:szCs w:val="20"/>
        </w:rPr>
        <w:t xml:space="preserve"> a broad range of investment activities and strategies compared to</w:t>
      </w:r>
      <w:r w:rsidR="001B1930" w:rsidRPr="00F26E57">
        <w:rPr>
          <w:rFonts w:ascii="Arial Narrow" w:hAnsi="Arial Narrow"/>
          <w:sz w:val="20"/>
          <w:szCs w:val="20"/>
        </w:rPr>
        <w:t xml:space="preserve"> </w:t>
      </w:r>
      <w:r w:rsidR="00CA4D3D" w:rsidRPr="00F26E57">
        <w:rPr>
          <w:rFonts w:ascii="Arial Narrow" w:hAnsi="Arial Narrow"/>
          <w:sz w:val="20"/>
          <w:szCs w:val="20"/>
        </w:rPr>
        <w:t>mutual fund</w:t>
      </w:r>
      <w:r w:rsidR="000A6211" w:rsidRPr="00F26E57">
        <w:rPr>
          <w:rFonts w:ascii="Arial Narrow" w:hAnsi="Arial Narrow"/>
          <w:sz w:val="20"/>
          <w:szCs w:val="20"/>
        </w:rPr>
        <w:t>s</w:t>
      </w:r>
      <w:r w:rsidR="00CA4D3D" w:rsidRPr="00F26E57">
        <w:rPr>
          <w:rFonts w:ascii="Arial Narrow" w:hAnsi="Arial Narrow"/>
          <w:sz w:val="20"/>
          <w:szCs w:val="20"/>
        </w:rPr>
        <w:t xml:space="preserve">, </w:t>
      </w:r>
      <w:proofErr w:type="spellStart"/>
      <w:r w:rsidR="00CA4D3D" w:rsidRPr="00F26E57">
        <w:rPr>
          <w:rFonts w:ascii="Arial Narrow" w:hAnsi="Arial Narrow"/>
          <w:sz w:val="20"/>
          <w:szCs w:val="20"/>
        </w:rPr>
        <w:t>ET</w:t>
      </w:r>
      <w:r w:rsidR="000A6211" w:rsidRPr="00F26E57">
        <w:rPr>
          <w:rFonts w:ascii="Arial Narrow" w:hAnsi="Arial Narrow"/>
          <w:sz w:val="20"/>
          <w:szCs w:val="20"/>
        </w:rPr>
        <w:t>Fs</w:t>
      </w:r>
      <w:proofErr w:type="spellEnd"/>
      <w:r w:rsidR="00CA4D3D" w:rsidRPr="00F26E57">
        <w:rPr>
          <w:rFonts w:ascii="Arial Narrow" w:hAnsi="Arial Narrow"/>
          <w:sz w:val="20"/>
          <w:szCs w:val="20"/>
        </w:rPr>
        <w:t xml:space="preserve"> </w:t>
      </w:r>
      <w:r w:rsidR="000A6211" w:rsidRPr="00F26E57">
        <w:rPr>
          <w:rFonts w:ascii="Arial Narrow" w:hAnsi="Arial Narrow"/>
          <w:sz w:val="20"/>
          <w:szCs w:val="20"/>
        </w:rPr>
        <w:t xml:space="preserve">and </w:t>
      </w:r>
      <w:r w:rsidR="00CA4D3D" w:rsidRPr="00F26E57">
        <w:rPr>
          <w:rFonts w:ascii="Arial Narrow" w:hAnsi="Arial Narrow"/>
          <w:sz w:val="20"/>
          <w:szCs w:val="20"/>
        </w:rPr>
        <w:t>other pooled vehicle</w:t>
      </w:r>
      <w:r w:rsidR="000B40D3" w:rsidRPr="00F26E57">
        <w:rPr>
          <w:rFonts w:ascii="Arial Narrow" w:hAnsi="Arial Narrow"/>
          <w:sz w:val="20"/>
          <w:szCs w:val="20"/>
        </w:rPr>
        <w:t>s</w:t>
      </w:r>
      <w:r w:rsidR="00CA4D3D" w:rsidRPr="00F26E57">
        <w:rPr>
          <w:rFonts w:ascii="Arial Narrow" w:hAnsi="Arial Narrow"/>
          <w:sz w:val="20"/>
          <w:szCs w:val="20"/>
        </w:rPr>
        <w:t xml:space="preserve">.  Importantly, the LP structure </w:t>
      </w:r>
      <w:r w:rsidR="00720418" w:rsidRPr="00F26E57">
        <w:rPr>
          <w:rFonts w:ascii="Arial Narrow" w:hAnsi="Arial Narrow"/>
          <w:sz w:val="20"/>
          <w:szCs w:val="20"/>
        </w:rPr>
        <w:t>enables</w:t>
      </w:r>
      <w:r w:rsidR="000B40D3" w:rsidRPr="00F26E57">
        <w:rPr>
          <w:rFonts w:ascii="Arial Narrow" w:hAnsi="Arial Narrow"/>
          <w:sz w:val="20"/>
          <w:szCs w:val="20"/>
        </w:rPr>
        <w:t xml:space="preserve"> </w:t>
      </w:r>
      <w:r w:rsidR="00CA4D3D" w:rsidRPr="00F26E57">
        <w:rPr>
          <w:rFonts w:ascii="Arial Narrow" w:hAnsi="Arial Narrow"/>
          <w:i/>
          <w:sz w:val="20"/>
          <w:szCs w:val="20"/>
        </w:rPr>
        <w:t>reduce</w:t>
      </w:r>
      <w:r w:rsidR="001B1930" w:rsidRPr="00F26E57">
        <w:rPr>
          <w:rFonts w:ascii="Arial Narrow" w:hAnsi="Arial Narrow"/>
          <w:i/>
          <w:sz w:val="20"/>
          <w:szCs w:val="20"/>
        </w:rPr>
        <w:t>d</w:t>
      </w:r>
      <w:r w:rsidR="00CA4D3D" w:rsidRPr="00F26E57">
        <w:rPr>
          <w:rFonts w:ascii="Arial Narrow" w:hAnsi="Arial Narrow"/>
          <w:sz w:val="20"/>
          <w:szCs w:val="20"/>
        </w:rPr>
        <w:t xml:space="preserve"> regulatory oversight, reporting, and </w:t>
      </w:r>
      <w:r w:rsidR="000A6211" w:rsidRPr="00F26E57">
        <w:rPr>
          <w:rFonts w:ascii="Arial Narrow" w:hAnsi="Arial Narrow"/>
          <w:sz w:val="20"/>
          <w:szCs w:val="20"/>
        </w:rPr>
        <w:t xml:space="preserve">disclosure requirements, thus providing an element of privacy </w:t>
      </w:r>
      <w:proofErr w:type="gramStart"/>
      <w:r w:rsidR="00720418" w:rsidRPr="00F26E57">
        <w:rPr>
          <w:rFonts w:ascii="Arial Narrow" w:hAnsi="Arial Narrow"/>
          <w:sz w:val="20"/>
          <w:szCs w:val="20"/>
        </w:rPr>
        <w:t xml:space="preserve">that </w:t>
      </w:r>
      <w:r w:rsidR="000A6211" w:rsidRPr="00F26E57">
        <w:rPr>
          <w:rFonts w:ascii="Arial Narrow" w:hAnsi="Arial Narrow"/>
          <w:sz w:val="20"/>
          <w:szCs w:val="20"/>
        </w:rPr>
        <w:t>other investment vehicles</w:t>
      </w:r>
      <w:proofErr w:type="gramEnd"/>
      <w:r w:rsidR="000A6211" w:rsidRPr="00F26E57">
        <w:rPr>
          <w:rFonts w:ascii="Arial Narrow" w:hAnsi="Arial Narrow"/>
          <w:sz w:val="20"/>
          <w:szCs w:val="20"/>
        </w:rPr>
        <w:t xml:space="preserve"> may lack.</w:t>
      </w:r>
    </w:p>
    <w:p w:rsidR="000A6211" w:rsidRPr="00F26E57" w:rsidRDefault="000A6211" w:rsidP="00152E2C">
      <w:pPr>
        <w:jc w:val="both"/>
        <w:rPr>
          <w:rFonts w:ascii="Arial Narrow" w:hAnsi="Arial Narrow"/>
          <w:b/>
          <w:sz w:val="20"/>
          <w:szCs w:val="20"/>
        </w:rPr>
      </w:pPr>
      <w:r w:rsidRPr="00F26E57">
        <w:rPr>
          <w:rFonts w:ascii="Arial Narrow" w:hAnsi="Arial Narrow"/>
          <w:b/>
          <w:sz w:val="20"/>
          <w:szCs w:val="20"/>
        </w:rPr>
        <w:t>Tax Reporting</w:t>
      </w:r>
    </w:p>
    <w:p w:rsidR="000A6211" w:rsidRPr="00F26E57" w:rsidRDefault="00BF6F96" w:rsidP="00152E2C">
      <w:pPr>
        <w:jc w:val="both"/>
        <w:rPr>
          <w:rFonts w:ascii="Arial Narrow" w:hAnsi="Arial Narrow"/>
          <w:sz w:val="20"/>
          <w:szCs w:val="20"/>
        </w:rPr>
      </w:pPr>
      <w:r w:rsidRPr="00F26E57">
        <w:rPr>
          <w:rFonts w:ascii="Arial Narrow" w:hAnsi="Arial Narrow"/>
          <w:sz w:val="20"/>
          <w:szCs w:val="20"/>
        </w:rPr>
        <w:t xml:space="preserve">Structured as </w:t>
      </w:r>
      <w:r w:rsidR="000A6211" w:rsidRPr="00F26E57">
        <w:rPr>
          <w:rFonts w:ascii="Arial Narrow" w:hAnsi="Arial Narrow"/>
          <w:sz w:val="20"/>
          <w:szCs w:val="20"/>
        </w:rPr>
        <w:t xml:space="preserve">limited partnerships, private funds generate K-1s </w:t>
      </w:r>
      <w:r w:rsidR="00C67354" w:rsidRPr="00F26E57">
        <w:rPr>
          <w:rFonts w:ascii="Arial Narrow" w:hAnsi="Arial Narrow"/>
          <w:sz w:val="20"/>
          <w:szCs w:val="20"/>
        </w:rPr>
        <w:t>(official</w:t>
      </w:r>
      <w:r w:rsidR="001B1930" w:rsidRPr="00F26E57">
        <w:rPr>
          <w:rFonts w:ascii="Arial Narrow" w:hAnsi="Arial Narrow"/>
          <w:sz w:val="20"/>
          <w:szCs w:val="20"/>
        </w:rPr>
        <w:t>ly</w:t>
      </w:r>
      <w:r w:rsidR="00C67354" w:rsidRPr="00F26E57">
        <w:rPr>
          <w:rFonts w:ascii="Arial Narrow" w:hAnsi="Arial Narrow"/>
          <w:sz w:val="20"/>
          <w:szCs w:val="20"/>
        </w:rPr>
        <w:t xml:space="preserve"> Schedule K-1s or Form 1065s) </w:t>
      </w:r>
      <w:r w:rsidR="000A6211" w:rsidRPr="00F26E57">
        <w:rPr>
          <w:rFonts w:ascii="Arial Narrow" w:hAnsi="Arial Narrow"/>
          <w:sz w:val="20"/>
          <w:szCs w:val="20"/>
        </w:rPr>
        <w:t xml:space="preserve">for each investor or </w:t>
      </w:r>
      <w:r w:rsidR="00C67354" w:rsidRPr="00F26E57">
        <w:rPr>
          <w:rFonts w:ascii="Arial Narrow" w:hAnsi="Arial Narrow"/>
          <w:sz w:val="20"/>
          <w:szCs w:val="20"/>
        </w:rPr>
        <w:t xml:space="preserve">so-called fund </w:t>
      </w:r>
      <w:r w:rsidR="000A6211" w:rsidRPr="00F26E57">
        <w:rPr>
          <w:rFonts w:ascii="Arial Narrow" w:hAnsi="Arial Narrow"/>
          <w:b/>
          <w:sz w:val="20"/>
          <w:szCs w:val="20"/>
        </w:rPr>
        <w:t>subscriber</w:t>
      </w:r>
      <w:r w:rsidR="000A6211" w:rsidRPr="00F26E57">
        <w:rPr>
          <w:rFonts w:ascii="Arial Narrow" w:hAnsi="Arial Narrow"/>
          <w:sz w:val="20"/>
          <w:szCs w:val="20"/>
        </w:rPr>
        <w:t xml:space="preserve">.  Investors in private funds receive K-1s </w:t>
      </w:r>
      <w:r w:rsidR="000875F6" w:rsidRPr="00F26E57">
        <w:rPr>
          <w:rFonts w:ascii="Arial Narrow" w:hAnsi="Arial Narrow"/>
          <w:sz w:val="20"/>
          <w:szCs w:val="20"/>
        </w:rPr>
        <w:t>for each tax year</w:t>
      </w:r>
      <w:r w:rsidR="00C67354" w:rsidRPr="00F26E57">
        <w:rPr>
          <w:rFonts w:ascii="Arial Narrow" w:hAnsi="Arial Narrow"/>
          <w:sz w:val="20"/>
          <w:szCs w:val="20"/>
        </w:rPr>
        <w:t xml:space="preserve"> during which they are “in the fund,” </w:t>
      </w:r>
      <w:r w:rsidR="000875F6" w:rsidRPr="00F26E57">
        <w:rPr>
          <w:rFonts w:ascii="Arial Narrow" w:hAnsi="Arial Narrow"/>
          <w:sz w:val="20"/>
          <w:szCs w:val="20"/>
        </w:rPr>
        <w:t xml:space="preserve">for each </w:t>
      </w:r>
      <w:r w:rsidR="002254BE" w:rsidRPr="00F26E57">
        <w:rPr>
          <w:rFonts w:ascii="Arial Narrow" w:hAnsi="Arial Narrow"/>
          <w:sz w:val="20"/>
          <w:szCs w:val="20"/>
        </w:rPr>
        <w:t xml:space="preserve">LP </w:t>
      </w:r>
      <w:r w:rsidR="000875F6" w:rsidRPr="00F26E57">
        <w:rPr>
          <w:rFonts w:ascii="Arial Narrow" w:hAnsi="Arial Narrow"/>
          <w:sz w:val="20"/>
          <w:szCs w:val="20"/>
        </w:rPr>
        <w:t>in which an investment is made</w:t>
      </w:r>
      <w:r w:rsidR="00C67354" w:rsidRPr="00F26E57">
        <w:rPr>
          <w:rFonts w:ascii="Arial Narrow" w:hAnsi="Arial Narrow"/>
          <w:sz w:val="20"/>
          <w:szCs w:val="20"/>
        </w:rPr>
        <w:t>, and for each person or entity investing (e.g., joint account, IRA, Trust, etc.)</w:t>
      </w:r>
    </w:p>
    <w:p w:rsidR="000875F6" w:rsidRPr="00F26E57" w:rsidRDefault="000875F6" w:rsidP="00152E2C">
      <w:pPr>
        <w:jc w:val="both"/>
        <w:rPr>
          <w:rFonts w:ascii="Arial Narrow" w:hAnsi="Arial Narrow"/>
          <w:sz w:val="20"/>
          <w:szCs w:val="20"/>
        </w:rPr>
      </w:pPr>
      <w:r w:rsidRPr="00F26E57">
        <w:rPr>
          <w:rFonts w:ascii="Arial Narrow" w:hAnsi="Arial Narrow"/>
          <w:sz w:val="20"/>
          <w:szCs w:val="20"/>
        </w:rPr>
        <w:t>Professional tax preparers often assist private fund investors with K-1s</w:t>
      </w:r>
      <w:r w:rsidR="000B40D3" w:rsidRPr="00F26E57">
        <w:rPr>
          <w:rFonts w:ascii="Arial Narrow" w:hAnsi="Arial Narrow"/>
          <w:sz w:val="20"/>
          <w:szCs w:val="20"/>
        </w:rPr>
        <w:t xml:space="preserve">.  </w:t>
      </w:r>
      <w:r w:rsidR="00752E7C" w:rsidRPr="00F26E57">
        <w:rPr>
          <w:rFonts w:ascii="Arial Narrow" w:hAnsi="Arial Narrow"/>
          <w:sz w:val="20"/>
          <w:szCs w:val="20"/>
        </w:rPr>
        <w:t xml:space="preserve">Broadly speaking, multiple </w:t>
      </w:r>
      <w:r w:rsidRPr="00F26E57">
        <w:rPr>
          <w:rFonts w:ascii="Arial Narrow" w:hAnsi="Arial Narrow"/>
          <w:sz w:val="20"/>
          <w:szCs w:val="20"/>
        </w:rPr>
        <w:t xml:space="preserve">K-1s can be “added together” </w:t>
      </w:r>
      <w:r w:rsidR="00CA753D" w:rsidRPr="00F26E57">
        <w:rPr>
          <w:rFonts w:ascii="Arial Narrow" w:hAnsi="Arial Narrow"/>
          <w:sz w:val="20"/>
          <w:szCs w:val="20"/>
        </w:rPr>
        <w:t xml:space="preserve">when </w:t>
      </w:r>
      <w:r w:rsidRPr="00F26E57">
        <w:rPr>
          <w:rFonts w:ascii="Arial Narrow" w:hAnsi="Arial Narrow"/>
          <w:sz w:val="20"/>
          <w:szCs w:val="20"/>
        </w:rPr>
        <w:t xml:space="preserve">preparing income tax returns.  Nevertheless, partnerships </w:t>
      </w:r>
      <w:r w:rsidR="001B1930" w:rsidRPr="00F26E57">
        <w:rPr>
          <w:rFonts w:ascii="Arial Narrow" w:hAnsi="Arial Narrow"/>
          <w:sz w:val="20"/>
          <w:szCs w:val="20"/>
        </w:rPr>
        <w:t>may</w:t>
      </w:r>
      <w:r w:rsidRPr="00F26E57">
        <w:rPr>
          <w:rFonts w:ascii="Arial Narrow" w:hAnsi="Arial Narrow"/>
          <w:sz w:val="20"/>
          <w:szCs w:val="20"/>
        </w:rPr>
        <w:t xml:space="preserve"> provide K-1s </w:t>
      </w:r>
      <w:r w:rsidRPr="00F26E57">
        <w:rPr>
          <w:rFonts w:ascii="Arial Narrow" w:hAnsi="Arial Narrow"/>
          <w:i/>
          <w:sz w:val="20"/>
          <w:szCs w:val="20"/>
        </w:rPr>
        <w:t>after</w:t>
      </w:r>
      <w:r w:rsidRPr="00F26E57">
        <w:rPr>
          <w:rFonts w:ascii="Arial Narrow" w:hAnsi="Arial Narrow"/>
          <w:sz w:val="20"/>
          <w:szCs w:val="20"/>
        </w:rPr>
        <w:t xml:space="preserve"> mid-April tax deadline</w:t>
      </w:r>
      <w:r w:rsidR="002254BE" w:rsidRPr="00F26E57">
        <w:rPr>
          <w:rFonts w:ascii="Arial Narrow" w:hAnsi="Arial Narrow"/>
          <w:sz w:val="20"/>
          <w:szCs w:val="20"/>
        </w:rPr>
        <w:t xml:space="preserve">s.  This, in turn, </w:t>
      </w:r>
      <w:r w:rsidR="001B1930" w:rsidRPr="00F26E57">
        <w:rPr>
          <w:rFonts w:ascii="Arial Narrow" w:hAnsi="Arial Narrow"/>
          <w:sz w:val="20"/>
          <w:szCs w:val="20"/>
        </w:rPr>
        <w:t xml:space="preserve">may </w:t>
      </w:r>
      <w:r w:rsidR="002254BE" w:rsidRPr="00F26E57">
        <w:rPr>
          <w:rFonts w:ascii="Arial Narrow" w:hAnsi="Arial Narrow"/>
          <w:sz w:val="20"/>
          <w:szCs w:val="20"/>
        </w:rPr>
        <w:t>necessitate fil</w:t>
      </w:r>
      <w:r w:rsidR="00CA753D" w:rsidRPr="00F26E57">
        <w:rPr>
          <w:rFonts w:ascii="Arial Narrow" w:hAnsi="Arial Narrow"/>
          <w:sz w:val="20"/>
          <w:szCs w:val="20"/>
        </w:rPr>
        <w:t xml:space="preserve">ing </w:t>
      </w:r>
      <w:r w:rsidRPr="00F26E57">
        <w:rPr>
          <w:rFonts w:ascii="Arial Narrow" w:hAnsi="Arial Narrow"/>
          <w:sz w:val="20"/>
          <w:szCs w:val="20"/>
        </w:rPr>
        <w:t xml:space="preserve">an automatic </w:t>
      </w:r>
      <w:r w:rsidR="002254BE" w:rsidRPr="00F26E57">
        <w:rPr>
          <w:rFonts w:ascii="Arial Narrow" w:hAnsi="Arial Narrow"/>
          <w:sz w:val="20"/>
          <w:szCs w:val="20"/>
        </w:rPr>
        <w:t xml:space="preserve">income tax </w:t>
      </w:r>
      <w:r w:rsidRPr="00F26E57">
        <w:rPr>
          <w:rFonts w:ascii="Arial Narrow" w:hAnsi="Arial Narrow"/>
          <w:sz w:val="20"/>
          <w:szCs w:val="20"/>
        </w:rPr>
        <w:t xml:space="preserve">extension </w:t>
      </w:r>
      <w:r w:rsidR="002254BE" w:rsidRPr="00F26E57">
        <w:rPr>
          <w:rFonts w:ascii="Arial Narrow" w:hAnsi="Arial Narrow"/>
          <w:sz w:val="20"/>
          <w:szCs w:val="20"/>
        </w:rPr>
        <w:t xml:space="preserve">by mid-April </w:t>
      </w:r>
      <w:r w:rsidRPr="00F26E57">
        <w:rPr>
          <w:rFonts w:ascii="Arial Narrow" w:hAnsi="Arial Narrow"/>
          <w:sz w:val="20"/>
          <w:szCs w:val="20"/>
        </w:rPr>
        <w:t>(IRS Form 4868</w:t>
      </w:r>
      <w:r w:rsidR="002254BE" w:rsidRPr="00F26E57">
        <w:rPr>
          <w:rFonts w:ascii="Arial Narrow" w:hAnsi="Arial Narrow"/>
          <w:sz w:val="20"/>
          <w:szCs w:val="20"/>
        </w:rPr>
        <w:t>) and pay</w:t>
      </w:r>
      <w:r w:rsidR="00CA753D" w:rsidRPr="00F26E57">
        <w:rPr>
          <w:rFonts w:ascii="Arial Narrow" w:hAnsi="Arial Narrow"/>
          <w:sz w:val="20"/>
          <w:szCs w:val="20"/>
        </w:rPr>
        <w:t>ing</w:t>
      </w:r>
      <w:r w:rsidR="002254BE" w:rsidRPr="00F26E57">
        <w:rPr>
          <w:rFonts w:ascii="Arial Narrow" w:hAnsi="Arial Narrow"/>
          <w:sz w:val="20"/>
          <w:szCs w:val="20"/>
        </w:rPr>
        <w:t xml:space="preserve"> estimated taxes</w:t>
      </w:r>
      <w:r w:rsidR="00CA753D" w:rsidRPr="00F26E57">
        <w:rPr>
          <w:rFonts w:ascii="Arial Narrow" w:hAnsi="Arial Narrow"/>
          <w:sz w:val="20"/>
          <w:szCs w:val="20"/>
        </w:rPr>
        <w:t xml:space="preserve"> </w:t>
      </w:r>
      <w:r w:rsidR="002254BE" w:rsidRPr="00F26E57">
        <w:rPr>
          <w:rFonts w:ascii="Arial Narrow" w:hAnsi="Arial Narrow"/>
          <w:sz w:val="20"/>
          <w:szCs w:val="20"/>
        </w:rPr>
        <w:t>–</w:t>
      </w:r>
      <w:r w:rsidR="00CA753D" w:rsidRPr="00F26E57">
        <w:rPr>
          <w:rFonts w:ascii="Arial Narrow" w:hAnsi="Arial Narrow"/>
          <w:sz w:val="20"/>
          <w:szCs w:val="20"/>
        </w:rPr>
        <w:t xml:space="preserve"> </w:t>
      </w:r>
      <w:r w:rsidR="002254BE" w:rsidRPr="00F26E57">
        <w:rPr>
          <w:rFonts w:ascii="Arial Narrow" w:hAnsi="Arial Narrow"/>
          <w:sz w:val="20"/>
          <w:szCs w:val="20"/>
        </w:rPr>
        <w:t xml:space="preserve">a manageable process but one </w:t>
      </w:r>
      <w:r w:rsidR="00BF6F96" w:rsidRPr="00F26E57">
        <w:rPr>
          <w:rFonts w:ascii="Arial Narrow" w:hAnsi="Arial Narrow"/>
          <w:sz w:val="20"/>
          <w:szCs w:val="20"/>
        </w:rPr>
        <w:t>that can be new to</w:t>
      </w:r>
      <w:r w:rsidR="00CA753D" w:rsidRPr="00F26E57">
        <w:rPr>
          <w:rFonts w:ascii="Arial Narrow" w:hAnsi="Arial Narrow"/>
          <w:sz w:val="20"/>
          <w:szCs w:val="20"/>
        </w:rPr>
        <w:t xml:space="preserve"> </w:t>
      </w:r>
      <w:r w:rsidR="001B1930" w:rsidRPr="00F26E57">
        <w:rPr>
          <w:rFonts w:ascii="Arial Narrow" w:hAnsi="Arial Narrow"/>
          <w:sz w:val="20"/>
          <w:szCs w:val="20"/>
        </w:rPr>
        <w:t xml:space="preserve">traditional </w:t>
      </w:r>
      <w:r w:rsidR="00CA753D" w:rsidRPr="00F26E57">
        <w:rPr>
          <w:rFonts w:ascii="Arial Narrow" w:hAnsi="Arial Narrow"/>
          <w:sz w:val="20"/>
          <w:szCs w:val="20"/>
        </w:rPr>
        <w:t>investors</w:t>
      </w:r>
      <w:r w:rsidR="002254BE" w:rsidRPr="00F26E57">
        <w:rPr>
          <w:rFonts w:ascii="Arial Narrow" w:hAnsi="Arial Narrow"/>
          <w:sz w:val="20"/>
          <w:szCs w:val="20"/>
        </w:rPr>
        <w:t>.</w:t>
      </w:r>
    </w:p>
    <w:p w:rsidR="00752E7C" w:rsidRPr="00F26E57" w:rsidRDefault="00752E7C">
      <w:pPr>
        <w:rPr>
          <w:rFonts w:ascii="Arial Narrow" w:hAnsi="Arial Narrow"/>
          <w:b/>
          <w:sz w:val="20"/>
          <w:szCs w:val="20"/>
        </w:rPr>
      </w:pPr>
      <w:r w:rsidRPr="00F26E57">
        <w:rPr>
          <w:rFonts w:ascii="Arial Narrow" w:hAnsi="Arial Narrow"/>
          <w:b/>
          <w:sz w:val="20"/>
          <w:szCs w:val="20"/>
        </w:rPr>
        <w:br w:type="page"/>
      </w:r>
    </w:p>
    <w:p w:rsidR="009F40C6" w:rsidRPr="00F26E57" w:rsidRDefault="001120C0" w:rsidP="00152E2C">
      <w:pPr>
        <w:jc w:val="both"/>
        <w:rPr>
          <w:rFonts w:ascii="Arial Narrow" w:hAnsi="Arial Narrow"/>
          <w:b/>
          <w:sz w:val="20"/>
          <w:szCs w:val="20"/>
        </w:rPr>
      </w:pPr>
      <w:r w:rsidRPr="00F26E57">
        <w:rPr>
          <w:rFonts w:ascii="Arial Narrow" w:hAnsi="Arial Narrow"/>
          <w:b/>
          <w:sz w:val="20"/>
          <w:szCs w:val="20"/>
        </w:rPr>
        <w:t>Qualifications</w:t>
      </w:r>
    </w:p>
    <w:p w:rsidR="001120C0" w:rsidRPr="00F26E57" w:rsidRDefault="000B40D3" w:rsidP="00152E2C">
      <w:pPr>
        <w:jc w:val="both"/>
        <w:rPr>
          <w:rFonts w:ascii="Arial Narrow" w:hAnsi="Arial Narrow"/>
          <w:sz w:val="20"/>
          <w:szCs w:val="20"/>
        </w:rPr>
      </w:pPr>
      <w:r w:rsidRPr="00F26E57">
        <w:rPr>
          <w:rFonts w:ascii="Arial Narrow" w:hAnsi="Arial Narrow"/>
          <w:sz w:val="20"/>
          <w:szCs w:val="20"/>
        </w:rPr>
        <w:t xml:space="preserve">To </w:t>
      </w:r>
      <w:r w:rsidR="006976EE" w:rsidRPr="00F26E57">
        <w:rPr>
          <w:rFonts w:ascii="Arial Narrow" w:hAnsi="Arial Narrow"/>
          <w:sz w:val="20"/>
          <w:szCs w:val="20"/>
        </w:rPr>
        <w:t>invest in Neuberger Berman private fund</w:t>
      </w:r>
      <w:r w:rsidR="00497469" w:rsidRPr="00F26E57">
        <w:rPr>
          <w:rFonts w:ascii="Arial Narrow" w:hAnsi="Arial Narrow"/>
          <w:sz w:val="20"/>
          <w:szCs w:val="20"/>
        </w:rPr>
        <w:t>s</w:t>
      </w:r>
      <w:r w:rsidRPr="00F26E57">
        <w:rPr>
          <w:rFonts w:ascii="Arial Narrow" w:hAnsi="Arial Narrow"/>
          <w:sz w:val="20"/>
          <w:szCs w:val="20"/>
        </w:rPr>
        <w:t xml:space="preserve"> in the U.S., </w:t>
      </w:r>
      <w:r w:rsidR="0028121B" w:rsidRPr="00F26E57">
        <w:rPr>
          <w:rFonts w:ascii="Arial Narrow" w:hAnsi="Arial Narrow"/>
          <w:sz w:val="20"/>
          <w:szCs w:val="20"/>
        </w:rPr>
        <w:t xml:space="preserve">individuals </w:t>
      </w:r>
      <w:r w:rsidR="00EF258D" w:rsidRPr="00F26E57">
        <w:rPr>
          <w:rFonts w:ascii="Arial Narrow" w:hAnsi="Arial Narrow"/>
          <w:sz w:val="20"/>
          <w:szCs w:val="20"/>
        </w:rPr>
        <w:t xml:space="preserve">– </w:t>
      </w:r>
      <w:r w:rsidRPr="00F26E57">
        <w:rPr>
          <w:rFonts w:ascii="Arial Narrow" w:hAnsi="Arial Narrow"/>
          <w:sz w:val="20"/>
          <w:szCs w:val="20"/>
        </w:rPr>
        <w:t>including employees</w:t>
      </w:r>
      <w:r w:rsidR="00BA21E1" w:rsidRPr="00F26E57">
        <w:rPr>
          <w:rFonts w:ascii="Arial Narrow" w:hAnsi="Arial Narrow"/>
          <w:sz w:val="20"/>
          <w:szCs w:val="20"/>
        </w:rPr>
        <w:t>,</w:t>
      </w:r>
      <w:r w:rsidR="00EF258D" w:rsidRPr="00F26E57">
        <w:rPr>
          <w:rFonts w:ascii="Arial Narrow" w:hAnsi="Arial Narrow"/>
          <w:sz w:val="20"/>
          <w:szCs w:val="20"/>
        </w:rPr>
        <w:t xml:space="preserve"> family members</w:t>
      </w:r>
      <w:r w:rsidR="00BA21E1" w:rsidRPr="00F26E57">
        <w:rPr>
          <w:rFonts w:ascii="Arial Narrow" w:hAnsi="Arial Narrow"/>
          <w:sz w:val="20"/>
          <w:szCs w:val="20"/>
        </w:rPr>
        <w:t>, or clients</w:t>
      </w:r>
      <w:r w:rsidR="00EF258D" w:rsidRPr="00F26E57">
        <w:rPr>
          <w:rFonts w:ascii="Arial Narrow" w:hAnsi="Arial Narrow"/>
          <w:sz w:val="20"/>
          <w:szCs w:val="20"/>
        </w:rPr>
        <w:t xml:space="preserve"> – must </w:t>
      </w:r>
      <w:r w:rsidR="0028121B" w:rsidRPr="00F26E57">
        <w:rPr>
          <w:rFonts w:ascii="Arial Narrow" w:hAnsi="Arial Narrow"/>
          <w:sz w:val="20"/>
          <w:szCs w:val="20"/>
        </w:rPr>
        <w:t xml:space="preserve">be so-called Qualified Purchasers </w:t>
      </w:r>
      <w:r w:rsidR="00EF258D" w:rsidRPr="00F26E57">
        <w:rPr>
          <w:rFonts w:ascii="Arial Narrow" w:hAnsi="Arial Narrow"/>
          <w:sz w:val="20"/>
          <w:szCs w:val="20"/>
        </w:rPr>
        <w:t>(“</w:t>
      </w:r>
      <w:proofErr w:type="spellStart"/>
      <w:r w:rsidR="00EF258D" w:rsidRPr="00F26E57">
        <w:rPr>
          <w:rFonts w:ascii="Arial Narrow" w:hAnsi="Arial Narrow"/>
          <w:sz w:val="20"/>
          <w:szCs w:val="20"/>
        </w:rPr>
        <w:t>QP</w:t>
      </w:r>
      <w:proofErr w:type="spellEnd"/>
      <w:r w:rsidR="00EF258D" w:rsidRPr="00F26E57">
        <w:rPr>
          <w:rFonts w:ascii="Arial Narrow" w:hAnsi="Arial Narrow"/>
          <w:sz w:val="20"/>
          <w:szCs w:val="20"/>
        </w:rPr>
        <w:t xml:space="preserve">”) </w:t>
      </w:r>
      <w:r w:rsidR="0028121B" w:rsidRPr="00F26E57">
        <w:rPr>
          <w:rFonts w:ascii="Arial Narrow" w:hAnsi="Arial Narrow"/>
          <w:sz w:val="20"/>
          <w:szCs w:val="20"/>
        </w:rPr>
        <w:t>with $5</w:t>
      </w:r>
      <w:r w:rsidR="006976EE" w:rsidRPr="00F26E57">
        <w:rPr>
          <w:rFonts w:ascii="Arial Narrow" w:hAnsi="Arial Narrow"/>
          <w:sz w:val="20"/>
          <w:szCs w:val="20"/>
        </w:rPr>
        <w:t xml:space="preserve"> million or more in investments</w:t>
      </w:r>
      <w:r w:rsidRPr="00F26E57">
        <w:rPr>
          <w:rFonts w:ascii="Arial Narrow" w:hAnsi="Arial Narrow"/>
          <w:sz w:val="20"/>
          <w:szCs w:val="20"/>
        </w:rPr>
        <w:t xml:space="preserve">.  They </w:t>
      </w:r>
      <w:r w:rsidRPr="00F26E57">
        <w:rPr>
          <w:rFonts w:ascii="Arial Narrow" w:hAnsi="Arial Narrow"/>
          <w:b/>
          <w:i/>
          <w:sz w:val="20"/>
          <w:szCs w:val="20"/>
        </w:rPr>
        <w:t xml:space="preserve">also </w:t>
      </w:r>
      <w:r w:rsidR="00EF258D" w:rsidRPr="00F26E57">
        <w:rPr>
          <w:rFonts w:ascii="Arial Narrow" w:hAnsi="Arial Narrow"/>
          <w:sz w:val="20"/>
          <w:szCs w:val="20"/>
        </w:rPr>
        <w:t xml:space="preserve">must be </w:t>
      </w:r>
      <w:r w:rsidR="0028121B" w:rsidRPr="00F26E57">
        <w:rPr>
          <w:rFonts w:ascii="Arial Narrow" w:hAnsi="Arial Narrow"/>
          <w:sz w:val="20"/>
          <w:szCs w:val="20"/>
        </w:rPr>
        <w:t>Accredited Investors</w:t>
      </w:r>
      <w:r w:rsidRPr="00F26E57">
        <w:rPr>
          <w:rFonts w:ascii="Arial Narrow" w:hAnsi="Arial Narrow"/>
          <w:sz w:val="20"/>
          <w:szCs w:val="20"/>
        </w:rPr>
        <w:t xml:space="preserve">. </w:t>
      </w:r>
      <w:r w:rsidR="00EF258D" w:rsidRPr="00F26E57">
        <w:rPr>
          <w:rFonts w:ascii="Arial Narrow" w:hAnsi="Arial Narrow"/>
          <w:sz w:val="20"/>
          <w:szCs w:val="20"/>
        </w:rPr>
        <w:t xml:space="preserve">Employees who are directly engaged in portfolio management or research for one of our pooled vehicles, or who lead a firm-wide operating or policy function, or meet certain other requirements may </w:t>
      </w:r>
      <w:r w:rsidR="00E10DC7" w:rsidRPr="00F26E57">
        <w:rPr>
          <w:rFonts w:ascii="Arial Narrow" w:hAnsi="Arial Narrow"/>
          <w:sz w:val="20"/>
          <w:szCs w:val="20"/>
        </w:rPr>
        <w:t xml:space="preserve">also </w:t>
      </w:r>
      <w:r w:rsidR="00EF258D" w:rsidRPr="00F26E57">
        <w:rPr>
          <w:rFonts w:ascii="Arial Narrow" w:hAnsi="Arial Narrow"/>
          <w:sz w:val="20"/>
          <w:szCs w:val="20"/>
        </w:rPr>
        <w:t>be eligible.  (See Appendix for details.)</w:t>
      </w:r>
    </w:p>
    <w:p w:rsidR="009F40C6" w:rsidRPr="00F26E57" w:rsidRDefault="00E10DC7" w:rsidP="00152E2C">
      <w:pPr>
        <w:jc w:val="both"/>
        <w:rPr>
          <w:rFonts w:ascii="Arial Narrow" w:hAnsi="Arial Narrow"/>
          <w:b/>
          <w:sz w:val="20"/>
          <w:szCs w:val="20"/>
        </w:rPr>
      </w:pPr>
      <w:r w:rsidRPr="00F26E57">
        <w:rPr>
          <w:rFonts w:ascii="Arial Narrow" w:hAnsi="Arial Narrow"/>
          <w:b/>
          <w:sz w:val="20"/>
          <w:szCs w:val="20"/>
        </w:rPr>
        <w:t xml:space="preserve">Range of Private </w:t>
      </w:r>
      <w:r w:rsidR="00061F97" w:rsidRPr="00F26E57">
        <w:rPr>
          <w:rFonts w:ascii="Arial Narrow" w:hAnsi="Arial Narrow"/>
          <w:b/>
          <w:sz w:val="20"/>
          <w:szCs w:val="20"/>
        </w:rPr>
        <w:t>Funds</w:t>
      </w:r>
    </w:p>
    <w:p w:rsidR="00497469" w:rsidRDefault="00061F97" w:rsidP="00152E2C">
      <w:pPr>
        <w:jc w:val="both"/>
        <w:rPr>
          <w:rFonts w:ascii="Arial Narrow" w:hAnsi="Arial Narrow"/>
          <w:sz w:val="20"/>
          <w:szCs w:val="20"/>
        </w:rPr>
      </w:pPr>
      <w:r w:rsidRPr="00F26E57">
        <w:rPr>
          <w:rFonts w:ascii="Arial Narrow" w:hAnsi="Arial Narrow"/>
          <w:sz w:val="20"/>
          <w:szCs w:val="20"/>
        </w:rPr>
        <w:t>Within</w:t>
      </w:r>
      <w:r w:rsidR="009454C1" w:rsidRPr="00F26E57">
        <w:rPr>
          <w:rFonts w:ascii="Arial Narrow" w:hAnsi="Arial Narrow"/>
          <w:sz w:val="20"/>
          <w:szCs w:val="20"/>
        </w:rPr>
        <w:t xml:space="preserve"> NB Alternatives, o</w:t>
      </w:r>
      <w:r w:rsidR="00B52947" w:rsidRPr="00F26E57">
        <w:rPr>
          <w:rFonts w:ascii="Arial Narrow" w:hAnsi="Arial Narrow"/>
          <w:sz w:val="20"/>
          <w:szCs w:val="20"/>
        </w:rPr>
        <w:t>ur private funds include</w:t>
      </w:r>
      <w:r w:rsidR="009454C1" w:rsidRPr="00F26E57">
        <w:rPr>
          <w:rFonts w:ascii="Arial Narrow" w:hAnsi="Arial Narrow"/>
          <w:sz w:val="20"/>
          <w:szCs w:val="20"/>
        </w:rPr>
        <w:t xml:space="preserve"> </w:t>
      </w:r>
      <w:r w:rsidR="00B52947" w:rsidRPr="00F26E57">
        <w:rPr>
          <w:rFonts w:ascii="Arial Narrow" w:hAnsi="Arial Narrow"/>
          <w:sz w:val="20"/>
          <w:szCs w:val="20"/>
        </w:rPr>
        <w:t xml:space="preserve">hedge fund strategies, private equity and </w:t>
      </w:r>
      <w:r w:rsidR="00626E5B" w:rsidRPr="00F26E57">
        <w:rPr>
          <w:rFonts w:ascii="Arial Narrow" w:hAnsi="Arial Narrow"/>
          <w:sz w:val="20"/>
          <w:szCs w:val="20"/>
        </w:rPr>
        <w:t xml:space="preserve">private </w:t>
      </w:r>
      <w:r w:rsidR="00B52947" w:rsidRPr="00F26E57">
        <w:rPr>
          <w:rFonts w:ascii="Arial Narrow" w:hAnsi="Arial Narrow"/>
          <w:sz w:val="20"/>
          <w:szCs w:val="20"/>
        </w:rPr>
        <w:t xml:space="preserve">debt strategies, </w:t>
      </w:r>
      <w:r w:rsidR="009454C1" w:rsidRPr="00F26E57">
        <w:rPr>
          <w:rFonts w:ascii="Arial Narrow" w:hAnsi="Arial Narrow"/>
          <w:sz w:val="20"/>
          <w:szCs w:val="20"/>
        </w:rPr>
        <w:t xml:space="preserve">commodity, quantitative, </w:t>
      </w:r>
      <w:r w:rsidR="00626E5B" w:rsidRPr="00F26E57">
        <w:rPr>
          <w:rFonts w:ascii="Arial Narrow" w:hAnsi="Arial Narrow"/>
          <w:sz w:val="20"/>
          <w:szCs w:val="20"/>
        </w:rPr>
        <w:t xml:space="preserve">and </w:t>
      </w:r>
      <w:r w:rsidR="00B52947" w:rsidRPr="00F26E57">
        <w:rPr>
          <w:rFonts w:ascii="Arial Narrow" w:hAnsi="Arial Narrow"/>
          <w:sz w:val="20"/>
          <w:szCs w:val="20"/>
        </w:rPr>
        <w:t>specialty strategies</w:t>
      </w:r>
      <w:r w:rsidR="00626E5B" w:rsidRPr="00F26E57">
        <w:rPr>
          <w:rFonts w:ascii="Arial Narrow" w:hAnsi="Arial Narrow"/>
          <w:sz w:val="20"/>
          <w:szCs w:val="20"/>
        </w:rPr>
        <w:t xml:space="preserve">.  </w:t>
      </w:r>
      <w:r w:rsidR="00B52947" w:rsidRPr="00F26E57">
        <w:rPr>
          <w:rFonts w:ascii="Arial Narrow" w:hAnsi="Arial Narrow"/>
          <w:sz w:val="20"/>
          <w:szCs w:val="20"/>
        </w:rPr>
        <w:t xml:space="preserve"> </w:t>
      </w:r>
      <w:r w:rsidR="009454C1" w:rsidRPr="00F26E57">
        <w:rPr>
          <w:rFonts w:ascii="Arial Narrow" w:hAnsi="Arial Narrow"/>
          <w:sz w:val="20"/>
          <w:szCs w:val="20"/>
        </w:rPr>
        <w:t>A high level summary of our capabilities</w:t>
      </w:r>
      <w:r w:rsidR="00497469" w:rsidRPr="00F26E57">
        <w:rPr>
          <w:rFonts w:ascii="Arial Narrow" w:hAnsi="Arial Narrow"/>
          <w:sz w:val="20"/>
          <w:szCs w:val="20"/>
        </w:rPr>
        <w:t xml:space="preserve">, </w:t>
      </w:r>
      <w:r w:rsidRPr="00F26E57">
        <w:rPr>
          <w:rFonts w:ascii="Arial Narrow" w:hAnsi="Arial Narrow"/>
          <w:sz w:val="20"/>
          <w:szCs w:val="20"/>
        </w:rPr>
        <w:t xml:space="preserve">representing </w:t>
      </w:r>
      <w:r w:rsidR="00497469" w:rsidRPr="00F26E57">
        <w:rPr>
          <w:rFonts w:ascii="Arial Narrow" w:hAnsi="Arial Narrow"/>
          <w:sz w:val="20"/>
          <w:szCs w:val="20"/>
        </w:rPr>
        <w:t xml:space="preserve">$35 billion </w:t>
      </w:r>
      <w:r w:rsidRPr="00F26E57">
        <w:rPr>
          <w:rFonts w:ascii="Arial Narrow" w:hAnsi="Arial Narrow"/>
          <w:sz w:val="20"/>
          <w:szCs w:val="20"/>
        </w:rPr>
        <w:t>under management</w:t>
      </w:r>
      <w:r w:rsidR="00497469" w:rsidRPr="00F26E57">
        <w:rPr>
          <w:rFonts w:ascii="Arial Narrow" w:hAnsi="Arial Narrow"/>
          <w:sz w:val="20"/>
          <w:szCs w:val="20"/>
        </w:rPr>
        <w:t xml:space="preserve">, </w:t>
      </w:r>
      <w:r w:rsidR="009454C1" w:rsidRPr="00F26E57">
        <w:rPr>
          <w:rFonts w:ascii="Arial Narrow" w:hAnsi="Arial Narrow"/>
          <w:sz w:val="20"/>
          <w:szCs w:val="20"/>
        </w:rPr>
        <w:t xml:space="preserve">can be found at </w:t>
      </w:r>
      <w:r w:rsidR="009454C1" w:rsidRPr="00C90CC3">
        <w:rPr>
          <w:rFonts w:ascii="Arial Narrow" w:hAnsi="Arial Narrow"/>
          <w:sz w:val="20"/>
          <w:szCs w:val="20"/>
          <w:u w:val="single"/>
        </w:rPr>
        <w:t>NB Alternatives</w:t>
      </w:r>
      <w:r w:rsidR="00497469" w:rsidRPr="00F26E57">
        <w:rPr>
          <w:rFonts w:ascii="Arial Narrow" w:hAnsi="Arial Narrow"/>
          <w:sz w:val="20"/>
          <w:szCs w:val="20"/>
        </w:rPr>
        <w:t>.</w:t>
      </w:r>
      <w:r w:rsidR="007A68FC" w:rsidRPr="00F26E57">
        <w:rPr>
          <w:rFonts w:ascii="Arial Narrow" w:hAnsi="Arial Narrow"/>
          <w:sz w:val="20"/>
          <w:szCs w:val="20"/>
        </w:rPr>
        <w:t xml:space="preserve"> </w:t>
      </w:r>
    </w:p>
    <w:p w:rsidR="00465AE6" w:rsidRPr="00F26E57" w:rsidRDefault="00061F97" w:rsidP="00152E2C">
      <w:pPr>
        <w:jc w:val="both"/>
        <w:rPr>
          <w:rFonts w:ascii="Arial Narrow" w:hAnsi="Arial Narrow"/>
          <w:sz w:val="20"/>
          <w:szCs w:val="20"/>
        </w:rPr>
      </w:pPr>
      <w:r w:rsidRPr="00F26E57">
        <w:rPr>
          <w:rFonts w:ascii="Arial Narrow" w:hAnsi="Arial Narrow"/>
          <w:b/>
          <w:sz w:val="20"/>
          <w:szCs w:val="20"/>
        </w:rPr>
        <w:t>Private equity</w:t>
      </w:r>
      <w:r w:rsidRPr="00F26E57">
        <w:rPr>
          <w:rFonts w:ascii="Arial Narrow" w:hAnsi="Arial Narrow"/>
          <w:sz w:val="20"/>
          <w:szCs w:val="20"/>
        </w:rPr>
        <w:t xml:space="preserve"> and </w:t>
      </w:r>
      <w:r w:rsidRPr="00F26E57">
        <w:rPr>
          <w:rFonts w:ascii="Arial Narrow" w:hAnsi="Arial Narrow"/>
          <w:b/>
          <w:sz w:val="20"/>
          <w:szCs w:val="20"/>
        </w:rPr>
        <w:t>private debt</w:t>
      </w:r>
      <w:r w:rsidRPr="00F26E57">
        <w:rPr>
          <w:rFonts w:ascii="Arial Narrow" w:hAnsi="Arial Narrow"/>
          <w:sz w:val="20"/>
          <w:szCs w:val="20"/>
        </w:rPr>
        <w:t xml:space="preserve"> funds comprise a majority of our alternatives strategies – roughly $25 billion of </w:t>
      </w:r>
      <w:r w:rsidR="009F40C6" w:rsidRPr="00F26E57">
        <w:rPr>
          <w:rFonts w:ascii="Arial Narrow" w:hAnsi="Arial Narrow"/>
          <w:sz w:val="20"/>
          <w:szCs w:val="20"/>
        </w:rPr>
        <w:t xml:space="preserve">capital </w:t>
      </w:r>
      <w:r w:rsidR="007C0CA6" w:rsidRPr="00F26E57">
        <w:rPr>
          <w:rFonts w:ascii="Arial Narrow" w:hAnsi="Arial Narrow"/>
          <w:sz w:val="20"/>
          <w:szCs w:val="20"/>
        </w:rPr>
        <w:t xml:space="preserve">presently </w:t>
      </w:r>
      <w:r w:rsidRPr="00F26E57">
        <w:rPr>
          <w:rFonts w:ascii="Arial Narrow" w:hAnsi="Arial Narrow"/>
          <w:sz w:val="20"/>
          <w:szCs w:val="20"/>
        </w:rPr>
        <w:t>invested</w:t>
      </w:r>
      <w:r w:rsidR="009F40C6" w:rsidRPr="00F26E57">
        <w:rPr>
          <w:rFonts w:ascii="Arial Narrow" w:hAnsi="Arial Narrow"/>
          <w:sz w:val="20"/>
          <w:szCs w:val="20"/>
        </w:rPr>
        <w:t xml:space="preserve"> </w:t>
      </w:r>
      <w:r w:rsidRPr="00F26E57">
        <w:rPr>
          <w:rFonts w:ascii="Arial Narrow" w:hAnsi="Arial Narrow"/>
          <w:sz w:val="20"/>
          <w:szCs w:val="20"/>
        </w:rPr>
        <w:t xml:space="preserve">or committed </w:t>
      </w:r>
      <w:r w:rsidR="009F40C6" w:rsidRPr="00F26E57">
        <w:rPr>
          <w:rFonts w:ascii="Arial Narrow" w:hAnsi="Arial Narrow"/>
          <w:sz w:val="20"/>
          <w:szCs w:val="20"/>
        </w:rPr>
        <w:t xml:space="preserve">for investment over the coming few years.  </w:t>
      </w:r>
      <w:r w:rsidRPr="00F26E57">
        <w:rPr>
          <w:rFonts w:ascii="Arial Narrow" w:hAnsi="Arial Narrow"/>
          <w:sz w:val="20"/>
          <w:szCs w:val="20"/>
        </w:rPr>
        <w:t xml:space="preserve">Private equity and private debt funds generally invest in the equity and debt of </w:t>
      </w:r>
      <w:r w:rsidRPr="00F26E57">
        <w:rPr>
          <w:rFonts w:ascii="Arial Narrow" w:hAnsi="Arial Narrow"/>
          <w:i/>
          <w:sz w:val="20"/>
          <w:szCs w:val="20"/>
        </w:rPr>
        <w:t>private</w:t>
      </w:r>
      <w:r w:rsidRPr="00F26E57">
        <w:rPr>
          <w:rFonts w:ascii="Arial Narrow" w:hAnsi="Arial Narrow"/>
          <w:sz w:val="20"/>
          <w:szCs w:val="20"/>
        </w:rPr>
        <w:t xml:space="preserve"> companies, as opposed to equity and debt investments in </w:t>
      </w:r>
      <w:r w:rsidRPr="00F26E57">
        <w:rPr>
          <w:rFonts w:ascii="Arial Narrow" w:hAnsi="Arial Narrow"/>
          <w:i/>
          <w:sz w:val="20"/>
          <w:szCs w:val="20"/>
        </w:rPr>
        <w:t>public</w:t>
      </w:r>
      <w:r w:rsidRPr="00F26E57">
        <w:rPr>
          <w:rFonts w:ascii="Arial Narrow" w:hAnsi="Arial Narrow"/>
          <w:sz w:val="20"/>
          <w:szCs w:val="20"/>
        </w:rPr>
        <w:t xml:space="preserve"> companies.  </w:t>
      </w:r>
    </w:p>
    <w:p w:rsidR="00465AE6" w:rsidRPr="00F26E57" w:rsidRDefault="00465AE6" w:rsidP="00152E2C">
      <w:pPr>
        <w:jc w:val="both"/>
        <w:rPr>
          <w:rFonts w:ascii="Arial Narrow" w:hAnsi="Arial Narrow"/>
          <w:sz w:val="20"/>
          <w:szCs w:val="20"/>
        </w:rPr>
      </w:pPr>
      <w:r w:rsidRPr="00F26E57">
        <w:rPr>
          <w:rFonts w:ascii="Arial Narrow" w:hAnsi="Arial Narrow"/>
          <w:sz w:val="20"/>
          <w:szCs w:val="20"/>
        </w:rPr>
        <w:t>A few Neuberger Berman private funds invest in</w:t>
      </w:r>
      <w:r w:rsidR="009435A9" w:rsidRPr="00F26E57">
        <w:rPr>
          <w:rFonts w:ascii="Arial Narrow" w:hAnsi="Arial Narrow"/>
          <w:sz w:val="20"/>
          <w:szCs w:val="20"/>
        </w:rPr>
        <w:t xml:space="preserve"> </w:t>
      </w:r>
      <w:r w:rsidR="000B40D3" w:rsidRPr="00F26E57">
        <w:rPr>
          <w:rFonts w:ascii="Arial Narrow" w:hAnsi="Arial Narrow"/>
          <w:sz w:val="20"/>
          <w:szCs w:val="20"/>
        </w:rPr>
        <w:t xml:space="preserve">specialty </w:t>
      </w:r>
      <w:r w:rsidR="009435A9" w:rsidRPr="00F26E57">
        <w:rPr>
          <w:rFonts w:ascii="Arial Narrow" w:hAnsi="Arial Narrow"/>
          <w:sz w:val="20"/>
          <w:szCs w:val="20"/>
        </w:rPr>
        <w:t>private equity-</w:t>
      </w:r>
      <w:r w:rsidR="00A968BB" w:rsidRPr="00F26E57">
        <w:rPr>
          <w:rFonts w:ascii="Arial Narrow" w:hAnsi="Arial Narrow"/>
          <w:sz w:val="20"/>
          <w:szCs w:val="20"/>
        </w:rPr>
        <w:t>style</w:t>
      </w:r>
      <w:r w:rsidR="009435A9" w:rsidRPr="00F26E57">
        <w:rPr>
          <w:rFonts w:ascii="Arial Narrow" w:hAnsi="Arial Narrow"/>
          <w:sz w:val="20"/>
          <w:szCs w:val="20"/>
        </w:rPr>
        <w:t xml:space="preserve"> </w:t>
      </w:r>
      <w:r w:rsidRPr="00F26E57">
        <w:rPr>
          <w:rFonts w:ascii="Arial Narrow" w:hAnsi="Arial Narrow"/>
          <w:sz w:val="20"/>
          <w:szCs w:val="20"/>
        </w:rPr>
        <w:t>strategies</w:t>
      </w:r>
      <w:r w:rsidR="009435A9" w:rsidRPr="00F26E57">
        <w:rPr>
          <w:rFonts w:ascii="Arial Narrow" w:hAnsi="Arial Narrow"/>
          <w:sz w:val="20"/>
          <w:szCs w:val="20"/>
        </w:rPr>
        <w:t>,</w:t>
      </w:r>
      <w:r w:rsidRPr="00F26E57">
        <w:rPr>
          <w:rFonts w:ascii="Arial Narrow" w:hAnsi="Arial Narrow"/>
          <w:sz w:val="20"/>
          <w:szCs w:val="20"/>
        </w:rPr>
        <w:t xml:space="preserve"> such as retail brand royalties</w:t>
      </w:r>
      <w:r w:rsidR="009435A9" w:rsidRPr="00F26E57">
        <w:rPr>
          <w:rFonts w:ascii="Arial Narrow" w:hAnsi="Arial Narrow"/>
          <w:sz w:val="20"/>
          <w:szCs w:val="20"/>
        </w:rPr>
        <w:t xml:space="preserve">, </w:t>
      </w:r>
      <w:r w:rsidR="00A968BB" w:rsidRPr="00F26E57">
        <w:rPr>
          <w:rFonts w:ascii="Arial Narrow" w:hAnsi="Arial Narrow"/>
          <w:sz w:val="20"/>
          <w:szCs w:val="20"/>
        </w:rPr>
        <w:t xml:space="preserve">residential </w:t>
      </w:r>
      <w:r w:rsidR="009435A9" w:rsidRPr="00F26E57">
        <w:rPr>
          <w:rFonts w:ascii="Arial Narrow" w:hAnsi="Arial Narrow"/>
          <w:sz w:val="20"/>
          <w:szCs w:val="20"/>
        </w:rPr>
        <w:t xml:space="preserve">real estate </w:t>
      </w:r>
      <w:r w:rsidR="00A968BB" w:rsidRPr="00F26E57">
        <w:rPr>
          <w:rFonts w:ascii="Arial Narrow" w:hAnsi="Arial Narrow"/>
          <w:sz w:val="20"/>
          <w:szCs w:val="20"/>
        </w:rPr>
        <w:t>loans</w:t>
      </w:r>
      <w:r w:rsidR="009435A9" w:rsidRPr="00F26E57">
        <w:rPr>
          <w:rFonts w:ascii="Arial Narrow" w:hAnsi="Arial Narrow"/>
          <w:sz w:val="20"/>
          <w:szCs w:val="20"/>
        </w:rPr>
        <w:t xml:space="preserve">, and hedge fund </w:t>
      </w:r>
      <w:r w:rsidR="00720418" w:rsidRPr="00F26E57">
        <w:rPr>
          <w:rFonts w:ascii="Arial Narrow" w:hAnsi="Arial Narrow"/>
          <w:sz w:val="20"/>
          <w:szCs w:val="20"/>
        </w:rPr>
        <w:t xml:space="preserve">minority </w:t>
      </w:r>
      <w:r w:rsidR="009435A9" w:rsidRPr="00F26E57">
        <w:rPr>
          <w:rFonts w:ascii="Arial Narrow" w:hAnsi="Arial Narrow"/>
          <w:sz w:val="20"/>
          <w:szCs w:val="20"/>
        </w:rPr>
        <w:t>ownership stake</w:t>
      </w:r>
      <w:r w:rsidR="00A968BB" w:rsidRPr="00F26E57">
        <w:rPr>
          <w:rFonts w:ascii="Arial Narrow" w:hAnsi="Arial Narrow"/>
          <w:sz w:val="20"/>
          <w:szCs w:val="20"/>
        </w:rPr>
        <w:t>s</w:t>
      </w:r>
      <w:r w:rsidR="009435A9" w:rsidRPr="00F26E57">
        <w:rPr>
          <w:rFonts w:ascii="Arial Narrow" w:hAnsi="Arial Narrow"/>
          <w:sz w:val="20"/>
          <w:szCs w:val="20"/>
        </w:rPr>
        <w:t>, for example.</w:t>
      </w:r>
      <w:r w:rsidR="00784FE1" w:rsidRPr="00F26E57">
        <w:rPr>
          <w:rFonts w:ascii="Arial Narrow" w:hAnsi="Arial Narrow"/>
          <w:sz w:val="20"/>
          <w:szCs w:val="20"/>
        </w:rPr>
        <w:t xml:space="preserve">  For the purposes of this </w:t>
      </w:r>
      <w:proofErr w:type="spellStart"/>
      <w:r w:rsidR="00784FE1" w:rsidRPr="00F26E57">
        <w:rPr>
          <w:rFonts w:ascii="Arial Narrow" w:hAnsi="Arial Narrow"/>
          <w:i/>
          <w:sz w:val="20"/>
          <w:szCs w:val="20"/>
        </w:rPr>
        <w:t>EIS</w:t>
      </w:r>
      <w:proofErr w:type="spellEnd"/>
      <w:r w:rsidR="00784FE1" w:rsidRPr="00F26E57">
        <w:rPr>
          <w:rFonts w:ascii="Arial Narrow" w:hAnsi="Arial Narrow"/>
          <w:i/>
          <w:sz w:val="20"/>
          <w:szCs w:val="20"/>
        </w:rPr>
        <w:t xml:space="preserve"> Quarterly</w:t>
      </w:r>
      <w:r w:rsidR="00784FE1" w:rsidRPr="00F26E57">
        <w:rPr>
          <w:rFonts w:ascii="Arial Narrow" w:hAnsi="Arial Narrow"/>
          <w:sz w:val="20"/>
          <w:szCs w:val="20"/>
        </w:rPr>
        <w:t>, we refer to all such strategies simply as private equity funds.</w:t>
      </w:r>
    </w:p>
    <w:p w:rsidR="00E10DC7" w:rsidRPr="00F26E57" w:rsidRDefault="003E65F1" w:rsidP="00152E2C">
      <w:pPr>
        <w:jc w:val="both"/>
        <w:rPr>
          <w:rFonts w:ascii="Arial Narrow" w:hAnsi="Arial Narrow"/>
          <w:sz w:val="20"/>
          <w:szCs w:val="20"/>
        </w:rPr>
      </w:pPr>
      <w:r w:rsidRPr="00F26E57">
        <w:rPr>
          <w:rFonts w:ascii="Arial Narrow" w:hAnsi="Arial Narrow"/>
          <w:sz w:val="20"/>
          <w:szCs w:val="20"/>
        </w:rPr>
        <w:t>W</w:t>
      </w:r>
      <w:r w:rsidR="009F40C6" w:rsidRPr="00F26E57">
        <w:rPr>
          <w:rFonts w:ascii="Arial Narrow" w:hAnsi="Arial Narrow"/>
          <w:sz w:val="20"/>
          <w:szCs w:val="20"/>
        </w:rPr>
        <w:t xml:space="preserve">hether in equity or debt, </w:t>
      </w:r>
      <w:r w:rsidRPr="00F26E57">
        <w:rPr>
          <w:rFonts w:ascii="Arial Narrow" w:hAnsi="Arial Narrow"/>
          <w:sz w:val="20"/>
          <w:szCs w:val="20"/>
        </w:rPr>
        <w:t xml:space="preserve">private </w:t>
      </w:r>
      <w:r w:rsidR="00720418" w:rsidRPr="00F26E57">
        <w:rPr>
          <w:rFonts w:ascii="Arial Narrow" w:hAnsi="Arial Narrow"/>
          <w:sz w:val="20"/>
          <w:szCs w:val="20"/>
        </w:rPr>
        <w:t xml:space="preserve">equity </w:t>
      </w:r>
      <w:r w:rsidRPr="00F26E57">
        <w:rPr>
          <w:rFonts w:ascii="Arial Narrow" w:hAnsi="Arial Narrow"/>
          <w:sz w:val="20"/>
          <w:szCs w:val="20"/>
        </w:rPr>
        <w:t xml:space="preserve">fund investments </w:t>
      </w:r>
      <w:r w:rsidR="009F40C6" w:rsidRPr="00F26E57">
        <w:rPr>
          <w:rFonts w:ascii="Arial Narrow" w:hAnsi="Arial Narrow"/>
          <w:sz w:val="20"/>
          <w:szCs w:val="20"/>
        </w:rPr>
        <w:t xml:space="preserve">can be made </w:t>
      </w:r>
      <w:r w:rsidR="00061F97" w:rsidRPr="00F26E57">
        <w:rPr>
          <w:rFonts w:ascii="Arial Narrow" w:hAnsi="Arial Narrow"/>
          <w:sz w:val="20"/>
          <w:szCs w:val="20"/>
        </w:rPr>
        <w:t xml:space="preserve">one company at a time </w:t>
      </w:r>
      <w:r w:rsidR="009F40C6" w:rsidRPr="00F26E57">
        <w:rPr>
          <w:rFonts w:ascii="Arial Narrow" w:hAnsi="Arial Narrow"/>
          <w:sz w:val="20"/>
          <w:szCs w:val="20"/>
        </w:rPr>
        <w:t>as “</w:t>
      </w:r>
      <w:r w:rsidR="009F40C6" w:rsidRPr="00F26E57">
        <w:rPr>
          <w:rFonts w:ascii="Arial Narrow" w:hAnsi="Arial Narrow"/>
          <w:b/>
          <w:sz w:val="20"/>
          <w:szCs w:val="20"/>
        </w:rPr>
        <w:t>direct investments</w:t>
      </w:r>
      <w:r w:rsidR="009F40C6" w:rsidRPr="00F26E57">
        <w:rPr>
          <w:rFonts w:ascii="Arial Narrow" w:hAnsi="Arial Narrow"/>
          <w:sz w:val="20"/>
          <w:szCs w:val="20"/>
        </w:rPr>
        <w:t>,” or in multiple companies at once</w:t>
      </w:r>
      <w:r w:rsidR="00C06C70" w:rsidRPr="00F26E57">
        <w:rPr>
          <w:rFonts w:ascii="Arial Narrow" w:hAnsi="Arial Narrow"/>
          <w:sz w:val="20"/>
          <w:szCs w:val="20"/>
        </w:rPr>
        <w:t xml:space="preserve">, known </w:t>
      </w:r>
      <w:r w:rsidR="009F40C6" w:rsidRPr="00F26E57">
        <w:rPr>
          <w:rFonts w:ascii="Arial Narrow" w:hAnsi="Arial Narrow"/>
          <w:sz w:val="20"/>
          <w:szCs w:val="20"/>
        </w:rPr>
        <w:t>as “</w:t>
      </w:r>
      <w:r w:rsidR="009F40C6" w:rsidRPr="00F26E57">
        <w:rPr>
          <w:rFonts w:ascii="Arial Narrow" w:hAnsi="Arial Narrow"/>
          <w:b/>
          <w:sz w:val="20"/>
          <w:szCs w:val="20"/>
        </w:rPr>
        <w:t>fund investments</w:t>
      </w:r>
      <w:r w:rsidR="009F40C6" w:rsidRPr="00F26E57">
        <w:rPr>
          <w:rFonts w:ascii="Arial Narrow" w:hAnsi="Arial Narrow"/>
          <w:sz w:val="20"/>
          <w:szCs w:val="20"/>
        </w:rPr>
        <w:t>.”</w:t>
      </w:r>
      <w:r w:rsidR="00C06C70" w:rsidRPr="00F26E57">
        <w:rPr>
          <w:rFonts w:ascii="Arial Narrow" w:hAnsi="Arial Narrow"/>
          <w:sz w:val="20"/>
          <w:szCs w:val="20"/>
        </w:rPr>
        <w:t xml:space="preserve">  </w:t>
      </w:r>
      <w:r w:rsidR="00AA6526" w:rsidRPr="00F26E57">
        <w:rPr>
          <w:rFonts w:ascii="Arial Narrow" w:hAnsi="Arial Narrow"/>
          <w:sz w:val="20"/>
          <w:szCs w:val="20"/>
        </w:rPr>
        <w:t xml:space="preserve">These </w:t>
      </w:r>
      <w:r w:rsidR="00C06C70" w:rsidRPr="00F26E57">
        <w:rPr>
          <w:rFonts w:ascii="Arial Narrow" w:hAnsi="Arial Narrow"/>
          <w:sz w:val="20"/>
          <w:szCs w:val="20"/>
        </w:rPr>
        <w:t>investments</w:t>
      </w:r>
      <w:r w:rsidR="006E0E43" w:rsidRPr="00F26E57">
        <w:rPr>
          <w:rFonts w:ascii="Arial Narrow" w:hAnsi="Arial Narrow"/>
          <w:sz w:val="20"/>
          <w:szCs w:val="20"/>
        </w:rPr>
        <w:t xml:space="preserve">, </w:t>
      </w:r>
      <w:r w:rsidR="00AA6526" w:rsidRPr="00F26E57">
        <w:rPr>
          <w:rFonts w:ascii="Arial Narrow" w:hAnsi="Arial Narrow"/>
          <w:sz w:val="20"/>
          <w:szCs w:val="20"/>
        </w:rPr>
        <w:t xml:space="preserve">essentially </w:t>
      </w:r>
      <w:r w:rsidR="00C06C70" w:rsidRPr="00F26E57">
        <w:rPr>
          <w:rFonts w:ascii="Arial Narrow" w:hAnsi="Arial Narrow"/>
          <w:sz w:val="20"/>
          <w:szCs w:val="20"/>
        </w:rPr>
        <w:t>multiple investment</w:t>
      </w:r>
      <w:r w:rsidR="00AA6526" w:rsidRPr="00F26E57">
        <w:rPr>
          <w:rFonts w:ascii="Arial Narrow" w:hAnsi="Arial Narrow"/>
          <w:sz w:val="20"/>
          <w:szCs w:val="20"/>
        </w:rPr>
        <w:t xml:space="preserve">s </w:t>
      </w:r>
      <w:r w:rsidR="00A968BB" w:rsidRPr="00F26E57">
        <w:rPr>
          <w:rFonts w:ascii="Arial Narrow" w:hAnsi="Arial Narrow"/>
          <w:sz w:val="20"/>
          <w:szCs w:val="20"/>
        </w:rPr>
        <w:t>made in a single bite</w:t>
      </w:r>
      <w:r w:rsidR="006E0E43" w:rsidRPr="00F26E57">
        <w:rPr>
          <w:rFonts w:ascii="Arial Narrow" w:hAnsi="Arial Narrow"/>
          <w:sz w:val="20"/>
          <w:szCs w:val="20"/>
        </w:rPr>
        <w:t xml:space="preserve">, </w:t>
      </w:r>
      <w:r w:rsidR="00AA6526" w:rsidRPr="00F26E57">
        <w:rPr>
          <w:rFonts w:ascii="Arial Narrow" w:hAnsi="Arial Narrow"/>
          <w:sz w:val="20"/>
          <w:szCs w:val="20"/>
        </w:rPr>
        <w:t xml:space="preserve">can </w:t>
      </w:r>
      <w:r w:rsidR="00C06C70" w:rsidRPr="00F26E57">
        <w:rPr>
          <w:rFonts w:ascii="Arial Narrow" w:hAnsi="Arial Narrow"/>
          <w:sz w:val="20"/>
          <w:szCs w:val="20"/>
        </w:rPr>
        <w:t xml:space="preserve">be made </w:t>
      </w:r>
      <w:r w:rsidR="00AA6526" w:rsidRPr="00F26E57">
        <w:rPr>
          <w:rFonts w:ascii="Arial Narrow" w:hAnsi="Arial Narrow"/>
          <w:sz w:val="20"/>
          <w:szCs w:val="20"/>
        </w:rPr>
        <w:t>with new private funds</w:t>
      </w:r>
      <w:r w:rsidR="00A968BB" w:rsidRPr="00F26E57">
        <w:rPr>
          <w:rFonts w:ascii="Arial Narrow" w:hAnsi="Arial Narrow"/>
          <w:sz w:val="20"/>
          <w:szCs w:val="20"/>
        </w:rPr>
        <w:t>,</w:t>
      </w:r>
      <w:r w:rsidR="00C242AE" w:rsidRPr="00F26E57">
        <w:rPr>
          <w:rFonts w:ascii="Arial Narrow" w:hAnsi="Arial Narrow"/>
          <w:sz w:val="20"/>
          <w:szCs w:val="20"/>
        </w:rPr>
        <w:t xml:space="preserve"> and are </w:t>
      </w:r>
      <w:r w:rsidR="00DD7009" w:rsidRPr="00F26E57">
        <w:rPr>
          <w:rFonts w:ascii="Arial Narrow" w:hAnsi="Arial Narrow"/>
          <w:sz w:val="20"/>
          <w:szCs w:val="20"/>
        </w:rPr>
        <w:t xml:space="preserve">known as </w:t>
      </w:r>
      <w:r w:rsidR="00DD7009" w:rsidRPr="00F26E57">
        <w:rPr>
          <w:rFonts w:ascii="Arial Narrow" w:hAnsi="Arial Narrow"/>
          <w:b/>
          <w:sz w:val="20"/>
          <w:szCs w:val="20"/>
        </w:rPr>
        <w:t>primary investments</w:t>
      </w:r>
      <w:r w:rsidR="00DD7009" w:rsidRPr="00F26E57">
        <w:rPr>
          <w:rFonts w:ascii="Arial Narrow" w:hAnsi="Arial Narrow"/>
          <w:sz w:val="20"/>
          <w:szCs w:val="20"/>
        </w:rPr>
        <w:t xml:space="preserve">.  Fund investments can also be made in pre-existing funds through </w:t>
      </w:r>
      <w:r w:rsidR="00C242AE" w:rsidRPr="00F26E57">
        <w:rPr>
          <w:rFonts w:ascii="Arial Narrow" w:hAnsi="Arial Narrow"/>
          <w:sz w:val="20"/>
          <w:szCs w:val="20"/>
        </w:rPr>
        <w:t xml:space="preserve">so-called </w:t>
      </w:r>
      <w:r w:rsidR="00DD7009" w:rsidRPr="00F26E57">
        <w:rPr>
          <w:rFonts w:ascii="Arial Narrow" w:hAnsi="Arial Narrow"/>
          <w:b/>
          <w:sz w:val="20"/>
          <w:szCs w:val="20"/>
        </w:rPr>
        <w:t>secondary investments</w:t>
      </w:r>
      <w:r w:rsidR="00C242AE" w:rsidRPr="00F26E57">
        <w:rPr>
          <w:rFonts w:ascii="Arial Narrow" w:hAnsi="Arial Narrow"/>
          <w:sz w:val="20"/>
          <w:szCs w:val="20"/>
        </w:rPr>
        <w:t>.</w:t>
      </w:r>
    </w:p>
    <w:p w:rsidR="00061F97" w:rsidRPr="00F26E57" w:rsidRDefault="00C242AE" w:rsidP="00152E2C">
      <w:pPr>
        <w:jc w:val="both"/>
        <w:rPr>
          <w:rFonts w:ascii="Arial Narrow" w:hAnsi="Arial Narrow"/>
          <w:sz w:val="20"/>
          <w:szCs w:val="20"/>
        </w:rPr>
      </w:pPr>
      <w:r w:rsidRPr="00F26E57">
        <w:rPr>
          <w:rFonts w:ascii="Arial Narrow" w:hAnsi="Arial Narrow"/>
          <w:sz w:val="20"/>
          <w:szCs w:val="20"/>
        </w:rPr>
        <w:t xml:space="preserve">Finally, </w:t>
      </w:r>
      <w:r w:rsidRPr="00F26E57">
        <w:rPr>
          <w:rFonts w:ascii="Arial Narrow" w:hAnsi="Arial Narrow"/>
          <w:b/>
          <w:sz w:val="20"/>
          <w:szCs w:val="20"/>
        </w:rPr>
        <w:t xml:space="preserve">co-investment </w:t>
      </w:r>
      <w:r w:rsidRPr="00F26E57">
        <w:rPr>
          <w:rFonts w:ascii="Arial Narrow" w:hAnsi="Arial Narrow"/>
          <w:sz w:val="20"/>
          <w:szCs w:val="20"/>
        </w:rPr>
        <w:t>funds typically invest alongside other private equity or debt investors who may be leading an investment transaction.</w:t>
      </w:r>
      <w:r w:rsidR="006E0E43" w:rsidRPr="00F26E57">
        <w:rPr>
          <w:rFonts w:ascii="Arial Narrow" w:hAnsi="Arial Narrow"/>
          <w:sz w:val="20"/>
          <w:szCs w:val="20"/>
        </w:rPr>
        <w:t xml:space="preserve">  </w:t>
      </w:r>
    </w:p>
    <w:p w:rsidR="006F66DB" w:rsidRPr="00F26E57" w:rsidRDefault="007A68FC" w:rsidP="00152E2C">
      <w:pPr>
        <w:jc w:val="both"/>
        <w:rPr>
          <w:rFonts w:ascii="Arial Narrow" w:hAnsi="Arial Narrow"/>
          <w:sz w:val="20"/>
          <w:szCs w:val="20"/>
        </w:rPr>
      </w:pPr>
      <w:r w:rsidRPr="00F26E57">
        <w:rPr>
          <w:rFonts w:ascii="Arial Narrow" w:hAnsi="Arial Narrow"/>
          <w:b/>
          <w:sz w:val="20"/>
          <w:szCs w:val="20"/>
        </w:rPr>
        <w:t xml:space="preserve">Purposes of </w:t>
      </w:r>
      <w:r w:rsidR="006F66DB" w:rsidRPr="00F26E57">
        <w:rPr>
          <w:rFonts w:ascii="Arial Narrow" w:hAnsi="Arial Narrow"/>
          <w:b/>
          <w:sz w:val="20"/>
          <w:szCs w:val="20"/>
        </w:rPr>
        <w:t>Allocation</w:t>
      </w:r>
      <w:r w:rsidR="00EF258D" w:rsidRPr="00F26E57">
        <w:rPr>
          <w:rFonts w:ascii="Arial Narrow" w:hAnsi="Arial Narrow"/>
          <w:b/>
          <w:sz w:val="20"/>
          <w:szCs w:val="20"/>
        </w:rPr>
        <w:t xml:space="preserve"> to Alternatives</w:t>
      </w:r>
      <w:r w:rsidR="00E10DC7" w:rsidRPr="00F26E57">
        <w:rPr>
          <w:rFonts w:ascii="Arial Narrow" w:hAnsi="Arial Narrow"/>
          <w:sz w:val="20"/>
          <w:szCs w:val="20"/>
        </w:rPr>
        <w:t xml:space="preserve">  </w:t>
      </w:r>
    </w:p>
    <w:p w:rsidR="00B7141E" w:rsidRPr="00F26E57" w:rsidRDefault="00784FE1" w:rsidP="00152E2C">
      <w:pPr>
        <w:jc w:val="both"/>
        <w:rPr>
          <w:rFonts w:ascii="Arial Narrow" w:hAnsi="Arial Narrow"/>
          <w:sz w:val="20"/>
          <w:szCs w:val="20"/>
        </w:rPr>
      </w:pPr>
      <w:r w:rsidRPr="00F26E57">
        <w:rPr>
          <w:rFonts w:ascii="Arial Narrow" w:hAnsi="Arial Narrow"/>
          <w:sz w:val="20"/>
          <w:szCs w:val="20"/>
        </w:rPr>
        <w:t xml:space="preserve">Private equity funds operate in the same </w:t>
      </w:r>
      <w:r w:rsidR="00B7141E" w:rsidRPr="00F26E57">
        <w:rPr>
          <w:rFonts w:ascii="Arial Narrow" w:hAnsi="Arial Narrow"/>
          <w:sz w:val="20"/>
          <w:szCs w:val="20"/>
        </w:rPr>
        <w:t xml:space="preserve">overall </w:t>
      </w:r>
      <w:r w:rsidRPr="00F26E57">
        <w:rPr>
          <w:rFonts w:ascii="Arial Narrow" w:hAnsi="Arial Narrow"/>
          <w:sz w:val="20"/>
          <w:szCs w:val="20"/>
        </w:rPr>
        <w:t xml:space="preserve">business and economic environment </w:t>
      </w:r>
      <w:r w:rsidR="00B7141E" w:rsidRPr="00F26E57">
        <w:rPr>
          <w:rFonts w:ascii="Arial Narrow" w:hAnsi="Arial Narrow"/>
          <w:sz w:val="20"/>
          <w:szCs w:val="20"/>
        </w:rPr>
        <w:t>as public investors.  Private equity-backed companies themselves may be household</w:t>
      </w:r>
      <w:r w:rsidR="000B40D3" w:rsidRPr="00F26E57">
        <w:rPr>
          <w:rFonts w:ascii="Arial Narrow" w:hAnsi="Arial Narrow"/>
          <w:sz w:val="20"/>
          <w:szCs w:val="20"/>
        </w:rPr>
        <w:t>-</w:t>
      </w:r>
      <w:r w:rsidR="00B7141E" w:rsidRPr="00F26E57">
        <w:rPr>
          <w:rFonts w:ascii="Arial Narrow" w:hAnsi="Arial Narrow"/>
          <w:sz w:val="20"/>
          <w:szCs w:val="20"/>
        </w:rPr>
        <w:t>name businesses, such as Burger King, Hertz, Dell, Cinemark Theaters, and Univision, to name a few.</w:t>
      </w:r>
    </w:p>
    <w:p w:rsidR="00784FE1" w:rsidRPr="00F26E57" w:rsidRDefault="00B7141E" w:rsidP="00152E2C">
      <w:pPr>
        <w:jc w:val="both"/>
        <w:rPr>
          <w:rFonts w:ascii="Arial Narrow" w:hAnsi="Arial Narrow"/>
          <w:sz w:val="20"/>
          <w:szCs w:val="20"/>
        </w:rPr>
      </w:pPr>
      <w:r w:rsidRPr="00F26E57">
        <w:rPr>
          <w:rFonts w:ascii="Arial Narrow" w:hAnsi="Arial Narrow"/>
          <w:sz w:val="20"/>
          <w:szCs w:val="20"/>
        </w:rPr>
        <w:t xml:space="preserve">However, given </w:t>
      </w:r>
      <w:r w:rsidR="002B6626" w:rsidRPr="00F26E57">
        <w:rPr>
          <w:rFonts w:ascii="Arial Narrow" w:hAnsi="Arial Narrow"/>
          <w:sz w:val="20"/>
          <w:szCs w:val="20"/>
        </w:rPr>
        <w:t>PE funds’</w:t>
      </w:r>
      <w:r w:rsidRPr="00F26E57">
        <w:rPr>
          <w:rFonts w:ascii="Arial Narrow" w:hAnsi="Arial Narrow"/>
          <w:sz w:val="20"/>
          <w:szCs w:val="20"/>
        </w:rPr>
        <w:t xml:space="preserve"> confidentiality and long-term investment horizon (recall, investors generally commit capital for a decade or more) private funds can </w:t>
      </w:r>
      <w:r w:rsidR="00F006CF" w:rsidRPr="00F26E57">
        <w:rPr>
          <w:rFonts w:ascii="Arial Narrow" w:hAnsi="Arial Narrow"/>
          <w:sz w:val="20"/>
          <w:szCs w:val="20"/>
        </w:rPr>
        <w:t>take advantage of a wide</w:t>
      </w:r>
      <w:r w:rsidR="00F80559" w:rsidRPr="00F26E57">
        <w:rPr>
          <w:rFonts w:ascii="Arial Narrow" w:hAnsi="Arial Narrow"/>
          <w:sz w:val="20"/>
          <w:szCs w:val="20"/>
        </w:rPr>
        <w:t>r</w:t>
      </w:r>
      <w:r w:rsidR="00F006CF" w:rsidRPr="00F26E57">
        <w:rPr>
          <w:rFonts w:ascii="Arial Narrow" w:hAnsi="Arial Narrow"/>
          <w:sz w:val="20"/>
          <w:szCs w:val="20"/>
        </w:rPr>
        <w:t xml:space="preserve"> range of investment capabilities</w:t>
      </w:r>
      <w:r w:rsidR="00F80559" w:rsidRPr="00F26E57">
        <w:rPr>
          <w:rFonts w:ascii="Arial Narrow" w:hAnsi="Arial Narrow"/>
          <w:sz w:val="20"/>
          <w:szCs w:val="20"/>
        </w:rPr>
        <w:t xml:space="preserve">, information, </w:t>
      </w:r>
      <w:r w:rsidR="00F006CF" w:rsidRPr="00F26E57">
        <w:rPr>
          <w:rFonts w:ascii="Arial Narrow" w:hAnsi="Arial Narrow"/>
          <w:sz w:val="20"/>
          <w:szCs w:val="20"/>
        </w:rPr>
        <w:t>and opportunities than public investors.</w:t>
      </w:r>
    </w:p>
    <w:p w:rsidR="00784FE1" w:rsidRPr="00F26E57" w:rsidRDefault="002B6626" w:rsidP="00152E2C">
      <w:pPr>
        <w:jc w:val="both"/>
        <w:rPr>
          <w:rFonts w:ascii="Arial Narrow" w:hAnsi="Arial Narrow"/>
          <w:sz w:val="20"/>
          <w:szCs w:val="20"/>
        </w:rPr>
      </w:pPr>
      <w:r w:rsidRPr="00F26E57">
        <w:rPr>
          <w:rFonts w:ascii="Arial Narrow" w:hAnsi="Arial Narrow"/>
          <w:sz w:val="20"/>
          <w:szCs w:val="20"/>
        </w:rPr>
        <w:t>H</w:t>
      </w:r>
      <w:r w:rsidR="00D270E0" w:rsidRPr="00F26E57">
        <w:rPr>
          <w:rFonts w:ascii="Arial Narrow" w:hAnsi="Arial Narrow"/>
          <w:sz w:val="20"/>
          <w:szCs w:val="20"/>
        </w:rPr>
        <w:t>ow might this enhance an investor’s portfolio?</w:t>
      </w:r>
    </w:p>
    <w:p w:rsidR="00B11B1C" w:rsidRPr="00F26E57" w:rsidRDefault="00B11B1C" w:rsidP="00152E2C">
      <w:pPr>
        <w:jc w:val="both"/>
        <w:rPr>
          <w:rFonts w:ascii="Arial Narrow" w:hAnsi="Arial Narrow"/>
          <w:b/>
          <w:sz w:val="20"/>
          <w:szCs w:val="20"/>
        </w:rPr>
      </w:pPr>
      <w:r w:rsidRPr="00F26E57">
        <w:rPr>
          <w:rFonts w:ascii="Arial Narrow" w:hAnsi="Arial Narrow"/>
          <w:b/>
          <w:sz w:val="20"/>
          <w:szCs w:val="20"/>
        </w:rPr>
        <w:t>Risk &amp; Reward</w:t>
      </w:r>
    </w:p>
    <w:p w:rsidR="00D270E0" w:rsidRPr="00F26E57" w:rsidRDefault="00023C5C" w:rsidP="00152E2C">
      <w:pPr>
        <w:jc w:val="both"/>
        <w:rPr>
          <w:rFonts w:ascii="Arial Narrow" w:hAnsi="Arial Narrow"/>
          <w:sz w:val="20"/>
          <w:szCs w:val="20"/>
        </w:rPr>
      </w:pPr>
      <w:r w:rsidRPr="00F26E57">
        <w:rPr>
          <w:rFonts w:ascii="Arial Narrow" w:hAnsi="Arial Narrow"/>
          <w:b/>
          <w:sz w:val="20"/>
          <w:szCs w:val="20"/>
        </w:rPr>
        <w:t xml:space="preserve">Illiquidity </w:t>
      </w:r>
      <w:r w:rsidR="00B11B1C" w:rsidRPr="00F26E57">
        <w:rPr>
          <w:rFonts w:ascii="Arial Narrow" w:hAnsi="Arial Narrow"/>
          <w:b/>
          <w:sz w:val="20"/>
          <w:szCs w:val="20"/>
        </w:rPr>
        <w:t>Premium</w:t>
      </w:r>
      <w:r w:rsidRPr="00F26E57">
        <w:rPr>
          <w:rFonts w:ascii="Arial Narrow" w:hAnsi="Arial Narrow"/>
          <w:b/>
          <w:sz w:val="20"/>
          <w:szCs w:val="20"/>
        </w:rPr>
        <w:t xml:space="preserve"> </w:t>
      </w:r>
      <w:r w:rsidRPr="00F26E57">
        <w:rPr>
          <w:rFonts w:ascii="Arial Narrow" w:hAnsi="Arial Narrow"/>
          <w:sz w:val="20"/>
          <w:szCs w:val="20"/>
        </w:rPr>
        <w:t xml:space="preserve">Private </w:t>
      </w:r>
      <w:proofErr w:type="gramStart"/>
      <w:r w:rsidRPr="00F26E57">
        <w:rPr>
          <w:rFonts w:ascii="Arial Narrow" w:hAnsi="Arial Narrow"/>
          <w:sz w:val="20"/>
          <w:szCs w:val="20"/>
        </w:rPr>
        <w:t>equity</w:t>
      </w:r>
      <w:proofErr w:type="gramEnd"/>
      <w:r w:rsidRPr="00F26E57">
        <w:rPr>
          <w:rFonts w:ascii="Arial Narrow" w:hAnsi="Arial Narrow"/>
          <w:sz w:val="20"/>
          <w:szCs w:val="20"/>
        </w:rPr>
        <w:t xml:space="preserve"> investment returns can be higher than comparable public returns</w:t>
      </w:r>
      <w:r w:rsidR="002C4E84" w:rsidRPr="00F26E57">
        <w:rPr>
          <w:rFonts w:ascii="Arial Narrow" w:hAnsi="Arial Narrow"/>
          <w:sz w:val="20"/>
          <w:szCs w:val="20"/>
        </w:rPr>
        <w:t xml:space="preserve">, and </w:t>
      </w:r>
      <w:r w:rsidRPr="00F26E57">
        <w:rPr>
          <w:rFonts w:ascii="Arial Narrow" w:hAnsi="Arial Narrow"/>
          <w:sz w:val="20"/>
          <w:szCs w:val="20"/>
        </w:rPr>
        <w:t xml:space="preserve">potential reward for investors’ acceptance of </w:t>
      </w:r>
      <w:r w:rsidR="002C4E84" w:rsidRPr="00F26E57">
        <w:rPr>
          <w:rFonts w:ascii="Arial Narrow" w:hAnsi="Arial Narrow"/>
          <w:sz w:val="20"/>
          <w:szCs w:val="20"/>
        </w:rPr>
        <w:t xml:space="preserve">private fund </w:t>
      </w:r>
      <w:r w:rsidRPr="00F26E57">
        <w:rPr>
          <w:rFonts w:ascii="Arial Narrow" w:hAnsi="Arial Narrow"/>
          <w:sz w:val="20"/>
          <w:szCs w:val="20"/>
        </w:rPr>
        <w:t>illiquidity</w:t>
      </w:r>
      <w:r w:rsidR="002C4E84" w:rsidRPr="00F26E57">
        <w:rPr>
          <w:rFonts w:ascii="Arial Narrow" w:hAnsi="Arial Narrow"/>
          <w:sz w:val="20"/>
          <w:szCs w:val="20"/>
        </w:rPr>
        <w:t xml:space="preserve"> can be </w:t>
      </w:r>
      <w:r w:rsidR="00720418" w:rsidRPr="00F26E57">
        <w:rPr>
          <w:rFonts w:ascii="Arial Narrow" w:hAnsi="Arial Narrow"/>
          <w:sz w:val="20"/>
          <w:szCs w:val="20"/>
        </w:rPr>
        <w:t>attractive</w:t>
      </w:r>
      <w:r w:rsidRPr="00F26E57">
        <w:rPr>
          <w:rFonts w:ascii="Arial Narrow" w:hAnsi="Arial Narrow"/>
          <w:sz w:val="20"/>
          <w:szCs w:val="20"/>
        </w:rPr>
        <w:t xml:space="preserve">. </w:t>
      </w:r>
      <w:r w:rsidR="009B7320" w:rsidRPr="00F26E57">
        <w:rPr>
          <w:rFonts w:ascii="Arial Narrow" w:hAnsi="Arial Narrow"/>
          <w:sz w:val="20"/>
          <w:szCs w:val="20"/>
        </w:rPr>
        <w:t xml:space="preserve"> </w:t>
      </w:r>
      <w:r w:rsidRPr="00F26E57">
        <w:rPr>
          <w:rFonts w:ascii="Arial Narrow" w:hAnsi="Arial Narrow"/>
          <w:sz w:val="20"/>
          <w:szCs w:val="20"/>
        </w:rPr>
        <w:t>Arguably, investor</w:t>
      </w:r>
      <w:r w:rsidR="009B7320" w:rsidRPr="00F26E57">
        <w:rPr>
          <w:rFonts w:ascii="Arial Narrow" w:hAnsi="Arial Narrow"/>
          <w:sz w:val="20"/>
          <w:szCs w:val="20"/>
        </w:rPr>
        <w:t>s</w:t>
      </w:r>
      <w:r w:rsidRPr="00F26E57">
        <w:rPr>
          <w:rFonts w:ascii="Arial Narrow" w:hAnsi="Arial Narrow"/>
          <w:sz w:val="20"/>
          <w:szCs w:val="20"/>
        </w:rPr>
        <w:t xml:space="preserve"> require a premium return to compensate for </w:t>
      </w:r>
      <w:r w:rsidR="009B7320" w:rsidRPr="00F26E57">
        <w:rPr>
          <w:rFonts w:ascii="Arial Narrow" w:hAnsi="Arial Narrow"/>
          <w:sz w:val="20"/>
          <w:szCs w:val="20"/>
        </w:rPr>
        <w:t xml:space="preserve">illiquidity.  For investors who can accept </w:t>
      </w:r>
      <w:r w:rsidR="003E65F1" w:rsidRPr="00F26E57">
        <w:rPr>
          <w:rFonts w:ascii="Arial Narrow" w:hAnsi="Arial Narrow"/>
          <w:sz w:val="20"/>
          <w:szCs w:val="20"/>
        </w:rPr>
        <w:t xml:space="preserve">such </w:t>
      </w:r>
      <w:r w:rsidR="009B7320" w:rsidRPr="00F26E57">
        <w:rPr>
          <w:rFonts w:ascii="Arial Narrow" w:hAnsi="Arial Narrow"/>
          <w:sz w:val="20"/>
          <w:szCs w:val="20"/>
        </w:rPr>
        <w:t>long-term investment requirement</w:t>
      </w:r>
      <w:r w:rsidR="001633E7" w:rsidRPr="00F26E57">
        <w:rPr>
          <w:rFonts w:ascii="Arial Narrow" w:hAnsi="Arial Narrow"/>
          <w:sz w:val="20"/>
          <w:szCs w:val="20"/>
        </w:rPr>
        <w:t xml:space="preserve">s and corresponding lack of access to their capital, “illiquidity premium” can provide attractive risk-adjusted </w:t>
      </w:r>
      <w:r w:rsidR="003E65F1" w:rsidRPr="00F26E57">
        <w:rPr>
          <w:rFonts w:ascii="Arial Narrow" w:hAnsi="Arial Narrow"/>
          <w:sz w:val="20"/>
          <w:szCs w:val="20"/>
        </w:rPr>
        <w:t xml:space="preserve">return </w:t>
      </w:r>
      <w:r w:rsidR="00B11B1C" w:rsidRPr="00F26E57">
        <w:rPr>
          <w:rFonts w:ascii="Arial Narrow" w:hAnsi="Arial Narrow"/>
          <w:sz w:val="20"/>
          <w:szCs w:val="20"/>
        </w:rPr>
        <w:t xml:space="preserve">from </w:t>
      </w:r>
      <w:r w:rsidR="001633E7" w:rsidRPr="00F26E57">
        <w:rPr>
          <w:rFonts w:ascii="Arial Narrow" w:hAnsi="Arial Narrow"/>
          <w:sz w:val="20"/>
          <w:szCs w:val="20"/>
        </w:rPr>
        <w:t>private fund</w:t>
      </w:r>
      <w:r w:rsidR="00B11B1C" w:rsidRPr="00F26E57">
        <w:rPr>
          <w:rFonts w:ascii="Arial Narrow" w:hAnsi="Arial Narrow"/>
          <w:sz w:val="20"/>
          <w:szCs w:val="20"/>
        </w:rPr>
        <w:t>s</w:t>
      </w:r>
      <w:r w:rsidR="001633E7" w:rsidRPr="00F26E57">
        <w:rPr>
          <w:rFonts w:ascii="Arial Narrow" w:hAnsi="Arial Narrow"/>
          <w:sz w:val="20"/>
          <w:szCs w:val="20"/>
        </w:rPr>
        <w:t>.</w:t>
      </w:r>
      <w:r w:rsidR="009B7320" w:rsidRPr="00F26E57">
        <w:rPr>
          <w:rFonts w:ascii="Arial Narrow" w:hAnsi="Arial Narrow"/>
          <w:sz w:val="20"/>
          <w:szCs w:val="20"/>
        </w:rPr>
        <w:t xml:space="preserve"> </w:t>
      </w:r>
    </w:p>
    <w:p w:rsidR="00067CE7" w:rsidRPr="00F26E57" w:rsidRDefault="00067CE7" w:rsidP="00152E2C">
      <w:pPr>
        <w:jc w:val="both"/>
        <w:rPr>
          <w:rFonts w:ascii="Arial Narrow" w:hAnsi="Arial Narrow"/>
          <w:sz w:val="20"/>
          <w:szCs w:val="20"/>
        </w:rPr>
      </w:pPr>
      <w:r w:rsidRPr="00F26E57">
        <w:rPr>
          <w:rFonts w:ascii="Arial Narrow" w:hAnsi="Arial Narrow"/>
          <w:b/>
          <w:sz w:val="20"/>
          <w:szCs w:val="20"/>
        </w:rPr>
        <w:t xml:space="preserve">Private Information, Access </w:t>
      </w:r>
      <w:r w:rsidR="00B11B1C" w:rsidRPr="00F26E57">
        <w:rPr>
          <w:rFonts w:ascii="Arial Narrow" w:hAnsi="Arial Narrow"/>
          <w:b/>
          <w:sz w:val="20"/>
          <w:szCs w:val="20"/>
        </w:rPr>
        <w:t>Premium</w:t>
      </w:r>
      <w:r w:rsidRPr="00F26E57">
        <w:rPr>
          <w:rFonts w:ascii="Arial Narrow" w:hAnsi="Arial Narrow"/>
          <w:sz w:val="20"/>
          <w:szCs w:val="20"/>
        </w:rPr>
        <w:t xml:space="preserve"> Non-public information, and access to the Board, management, and operations of private companies can help enhance the investment success </w:t>
      </w:r>
      <w:r w:rsidR="00B11B1C" w:rsidRPr="00F26E57">
        <w:rPr>
          <w:rFonts w:ascii="Arial Narrow" w:hAnsi="Arial Narrow"/>
          <w:sz w:val="20"/>
          <w:szCs w:val="20"/>
        </w:rPr>
        <w:t xml:space="preserve">of </w:t>
      </w:r>
      <w:r w:rsidRPr="00F26E57">
        <w:rPr>
          <w:rFonts w:ascii="Arial Narrow" w:hAnsi="Arial Narrow"/>
          <w:sz w:val="20"/>
          <w:szCs w:val="20"/>
        </w:rPr>
        <w:t xml:space="preserve">private fund managers.  Moreover, private fund managers often </w:t>
      </w:r>
      <w:r w:rsidR="00B11B1C" w:rsidRPr="00F26E57">
        <w:rPr>
          <w:rFonts w:ascii="Arial Narrow" w:hAnsi="Arial Narrow"/>
          <w:sz w:val="20"/>
          <w:szCs w:val="20"/>
        </w:rPr>
        <w:t xml:space="preserve">strive to </w:t>
      </w:r>
      <w:r w:rsidRPr="00F26E57">
        <w:rPr>
          <w:rFonts w:ascii="Arial Narrow" w:hAnsi="Arial Narrow"/>
          <w:sz w:val="20"/>
          <w:szCs w:val="20"/>
        </w:rPr>
        <w:t xml:space="preserve">improve </w:t>
      </w:r>
      <w:r w:rsidR="00B11B1C" w:rsidRPr="00F26E57">
        <w:rPr>
          <w:rFonts w:ascii="Arial Narrow" w:hAnsi="Arial Narrow"/>
          <w:sz w:val="20"/>
          <w:szCs w:val="20"/>
        </w:rPr>
        <w:t xml:space="preserve">the </w:t>
      </w:r>
      <w:r w:rsidRPr="00F26E57">
        <w:rPr>
          <w:rFonts w:ascii="Arial Narrow" w:hAnsi="Arial Narrow"/>
          <w:sz w:val="20"/>
          <w:szCs w:val="20"/>
        </w:rPr>
        <w:t>operations, capital structures a</w:t>
      </w:r>
      <w:bookmarkStart w:id="0" w:name="_GoBack"/>
      <w:bookmarkEnd w:id="0"/>
      <w:r w:rsidRPr="00F26E57">
        <w:rPr>
          <w:rFonts w:ascii="Arial Narrow" w:hAnsi="Arial Narrow"/>
          <w:sz w:val="20"/>
          <w:szCs w:val="20"/>
        </w:rPr>
        <w:t xml:space="preserve">nd strategies of </w:t>
      </w:r>
      <w:r w:rsidR="00B11B1C" w:rsidRPr="00F26E57">
        <w:rPr>
          <w:rFonts w:ascii="Arial Narrow" w:hAnsi="Arial Narrow"/>
          <w:sz w:val="20"/>
          <w:szCs w:val="20"/>
        </w:rPr>
        <w:t xml:space="preserve">portfolio </w:t>
      </w:r>
      <w:r w:rsidRPr="00F26E57">
        <w:rPr>
          <w:rFonts w:ascii="Arial Narrow" w:hAnsi="Arial Narrow"/>
          <w:sz w:val="20"/>
          <w:szCs w:val="20"/>
        </w:rPr>
        <w:t>companies</w:t>
      </w:r>
      <w:r w:rsidR="00B11B1C" w:rsidRPr="00F26E57">
        <w:rPr>
          <w:rFonts w:ascii="Arial Narrow" w:hAnsi="Arial Narrow"/>
          <w:sz w:val="20"/>
          <w:szCs w:val="20"/>
        </w:rPr>
        <w:t xml:space="preserve"> themselves</w:t>
      </w:r>
      <w:r w:rsidRPr="00F26E57">
        <w:rPr>
          <w:rFonts w:ascii="Arial Narrow" w:hAnsi="Arial Narrow"/>
          <w:sz w:val="20"/>
          <w:szCs w:val="20"/>
        </w:rPr>
        <w:t xml:space="preserve">. These and </w:t>
      </w:r>
      <w:r w:rsidR="002C4E84" w:rsidRPr="00F26E57">
        <w:rPr>
          <w:rFonts w:ascii="Arial Narrow" w:hAnsi="Arial Narrow"/>
          <w:sz w:val="20"/>
          <w:szCs w:val="20"/>
        </w:rPr>
        <w:t>other information</w:t>
      </w:r>
      <w:r w:rsidR="00B11B1C" w:rsidRPr="00F26E57">
        <w:rPr>
          <w:rFonts w:ascii="Arial Narrow" w:hAnsi="Arial Narrow"/>
          <w:sz w:val="20"/>
          <w:szCs w:val="20"/>
        </w:rPr>
        <w:t xml:space="preserve">, </w:t>
      </w:r>
      <w:r w:rsidR="002C4E84" w:rsidRPr="00F26E57">
        <w:rPr>
          <w:rFonts w:ascii="Arial Narrow" w:hAnsi="Arial Narrow"/>
          <w:sz w:val="20"/>
          <w:szCs w:val="20"/>
        </w:rPr>
        <w:t xml:space="preserve">access </w:t>
      </w:r>
      <w:r w:rsidR="00B11B1C" w:rsidRPr="00F26E57">
        <w:rPr>
          <w:rFonts w:ascii="Arial Narrow" w:hAnsi="Arial Narrow"/>
          <w:sz w:val="20"/>
          <w:szCs w:val="20"/>
        </w:rPr>
        <w:t xml:space="preserve">and execution </w:t>
      </w:r>
      <w:r w:rsidR="002C4E84" w:rsidRPr="00F26E57">
        <w:rPr>
          <w:rFonts w:ascii="Arial Narrow" w:hAnsi="Arial Narrow"/>
          <w:sz w:val="20"/>
          <w:szCs w:val="20"/>
        </w:rPr>
        <w:t xml:space="preserve">“tools” help define </w:t>
      </w:r>
      <w:r w:rsidR="00B11B1C" w:rsidRPr="00F26E57">
        <w:rPr>
          <w:rFonts w:ascii="Arial Narrow" w:hAnsi="Arial Narrow"/>
          <w:sz w:val="20"/>
          <w:szCs w:val="20"/>
        </w:rPr>
        <w:t xml:space="preserve">the </w:t>
      </w:r>
      <w:r w:rsidR="002C4E84" w:rsidRPr="00F26E57">
        <w:rPr>
          <w:rFonts w:ascii="Arial Narrow" w:hAnsi="Arial Narrow"/>
          <w:sz w:val="20"/>
          <w:szCs w:val="20"/>
        </w:rPr>
        <w:t>private equity asset class</w:t>
      </w:r>
      <w:r w:rsidR="003E65F1" w:rsidRPr="00F26E57">
        <w:rPr>
          <w:rFonts w:ascii="Arial Narrow" w:hAnsi="Arial Narrow"/>
          <w:sz w:val="20"/>
          <w:szCs w:val="20"/>
        </w:rPr>
        <w:t xml:space="preserve"> and its return potential</w:t>
      </w:r>
      <w:r w:rsidR="002C4E84" w:rsidRPr="00F26E57">
        <w:rPr>
          <w:rFonts w:ascii="Arial Narrow" w:hAnsi="Arial Narrow"/>
          <w:sz w:val="20"/>
          <w:szCs w:val="20"/>
        </w:rPr>
        <w:t>.</w:t>
      </w:r>
    </w:p>
    <w:p w:rsidR="006F66DB" w:rsidRPr="00F26E57" w:rsidRDefault="006F66DB" w:rsidP="00152E2C">
      <w:pPr>
        <w:jc w:val="both"/>
        <w:rPr>
          <w:rFonts w:ascii="Arial Narrow" w:hAnsi="Arial Narrow"/>
          <w:b/>
          <w:sz w:val="20"/>
          <w:szCs w:val="20"/>
        </w:rPr>
      </w:pPr>
      <w:r w:rsidRPr="00F26E57">
        <w:rPr>
          <w:rFonts w:ascii="Arial Narrow" w:hAnsi="Arial Narrow"/>
          <w:b/>
          <w:sz w:val="20"/>
          <w:szCs w:val="20"/>
        </w:rPr>
        <w:t xml:space="preserve">Potential Risks and </w:t>
      </w:r>
      <w:r w:rsidR="00044DA9" w:rsidRPr="00F26E57">
        <w:rPr>
          <w:rFonts w:ascii="Arial Narrow" w:hAnsi="Arial Narrow"/>
          <w:b/>
          <w:sz w:val="20"/>
          <w:szCs w:val="20"/>
        </w:rPr>
        <w:t>Considerations</w:t>
      </w:r>
    </w:p>
    <w:p w:rsidR="00044DA9" w:rsidRPr="00F26E57" w:rsidRDefault="002605C0" w:rsidP="00152E2C">
      <w:pPr>
        <w:jc w:val="both"/>
        <w:rPr>
          <w:rFonts w:ascii="Arial Narrow" w:hAnsi="Arial Narrow"/>
          <w:sz w:val="20"/>
          <w:szCs w:val="20"/>
        </w:rPr>
      </w:pPr>
      <w:r w:rsidRPr="00F26E57">
        <w:rPr>
          <w:rFonts w:ascii="Arial Narrow" w:hAnsi="Arial Narrow"/>
          <w:sz w:val="20"/>
          <w:szCs w:val="20"/>
        </w:rPr>
        <w:t>Illiquidity is a</w:t>
      </w:r>
      <w:r w:rsidR="00B821DA" w:rsidRPr="00F26E57">
        <w:rPr>
          <w:rFonts w:ascii="Arial Narrow" w:hAnsi="Arial Narrow"/>
          <w:sz w:val="20"/>
          <w:szCs w:val="20"/>
        </w:rPr>
        <w:t xml:space="preserve">mong </w:t>
      </w:r>
      <w:r w:rsidR="00EE6654" w:rsidRPr="00F26E57">
        <w:rPr>
          <w:rFonts w:ascii="Arial Narrow" w:hAnsi="Arial Narrow"/>
          <w:sz w:val="20"/>
          <w:szCs w:val="20"/>
        </w:rPr>
        <w:t xml:space="preserve">many risk </w:t>
      </w:r>
      <w:r w:rsidRPr="00F26E57">
        <w:rPr>
          <w:rFonts w:ascii="Arial Narrow" w:hAnsi="Arial Narrow"/>
          <w:sz w:val="20"/>
          <w:szCs w:val="20"/>
        </w:rPr>
        <w:t>consideration</w:t>
      </w:r>
      <w:r w:rsidR="00B821DA" w:rsidRPr="00F26E57">
        <w:rPr>
          <w:rFonts w:ascii="Arial Narrow" w:hAnsi="Arial Narrow"/>
          <w:sz w:val="20"/>
          <w:szCs w:val="20"/>
        </w:rPr>
        <w:t>s</w:t>
      </w:r>
      <w:r w:rsidRPr="00F26E57">
        <w:rPr>
          <w:rFonts w:ascii="Arial Narrow" w:hAnsi="Arial Narrow"/>
          <w:sz w:val="20"/>
          <w:szCs w:val="20"/>
        </w:rPr>
        <w:t xml:space="preserve"> for private fund investors</w:t>
      </w:r>
      <w:r w:rsidR="00B821DA" w:rsidRPr="00F26E57">
        <w:rPr>
          <w:rFonts w:ascii="Arial Narrow" w:hAnsi="Arial Narrow"/>
          <w:sz w:val="20"/>
          <w:szCs w:val="20"/>
        </w:rPr>
        <w:t>.  A</w:t>
      </w:r>
      <w:r w:rsidRPr="00F26E57">
        <w:rPr>
          <w:rFonts w:ascii="Arial Narrow" w:hAnsi="Arial Narrow"/>
          <w:sz w:val="20"/>
          <w:szCs w:val="20"/>
        </w:rPr>
        <w:t xml:space="preserve"> wide range of </w:t>
      </w:r>
      <w:r w:rsidR="00B821DA" w:rsidRPr="00F26E57">
        <w:rPr>
          <w:rFonts w:ascii="Arial Narrow" w:hAnsi="Arial Narrow"/>
          <w:sz w:val="20"/>
          <w:szCs w:val="20"/>
        </w:rPr>
        <w:t xml:space="preserve">redemption </w:t>
      </w:r>
      <w:r w:rsidRPr="00F26E57">
        <w:rPr>
          <w:rFonts w:ascii="Arial Narrow" w:hAnsi="Arial Narrow"/>
          <w:sz w:val="20"/>
          <w:szCs w:val="20"/>
        </w:rPr>
        <w:t xml:space="preserve">restrictions is </w:t>
      </w:r>
      <w:r w:rsidR="003E65F1" w:rsidRPr="00F26E57">
        <w:rPr>
          <w:rFonts w:ascii="Arial Narrow" w:hAnsi="Arial Narrow"/>
          <w:sz w:val="20"/>
          <w:szCs w:val="20"/>
        </w:rPr>
        <w:t>standard</w:t>
      </w:r>
      <w:r w:rsidRPr="00F26E57">
        <w:rPr>
          <w:rFonts w:ascii="Arial Narrow" w:hAnsi="Arial Narrow"/>
          <w:sz w:val="20"/>
          <w:szCs w:val="20"/>
        </w:rPr>
        <w:t xml:space="preserve"> across hedge, private equity and specialty funds.   An investor’s ability to redeem invested capital without penalty – or at all – can be limited.  Even commitments for future investments can be </w:t>
      </w:r>
      <w:r w:rsidR="00B821DA" w:rsidRPr="00F26E57">
        <w:rPr>
          <w:rFonts w:ascii="Arial Narrow" w:hAnsi="Arial Narrow"/>
          <w:sz w:val="20"/>
          <w:szCs w:val="20"/>
        </w:rPr>
        <w:t>difficult or impractical to cancel, in turn giving rise to secondary markets</w:t>
      </w:r>
      <w:r w:rsidR="00EE6654" w:rsidRPr="00F26E57">
        <w:rPr>
          <w:rFonts w:ascii="Arial Narrow" w:hAnsi="Arial Narrow"/>
          <w:sz w:val="20"/>
          <w:szCs w:val="20"/>
        </w:rPr>
        <w:t xml:space="preserve"> for fund investments</w:t>
      </w:r>
      <w:r w:rsidR="00B821DA" w:rsidRPr="00F26E57">
        <w:rPr>
          <w:rFonts w:ascii="Arial Narrow" w:hAnsi="Arial Narrow"/>
          <w:sz w:val="20"/>
          <w:szCs w:val="20"/>
        </w:rPr>
        <w:t xml:space="preserve">, </w:t>
      </w:r>
      <w:r w:rsidR="00720418" w:rsidRPr="00F26E57">
        <w:rPr>
          <w:rFonts w:ascii="Arial Narrow" w:hAnsi="Arial Narrow"/>
          <w:sz w:val="20"/>
          <w:szCs w:val="20"/>
        </w:rPr>
        <w:t xml:space="preserve">as described </w:t>
      </w:r>
      <w:r w:rsidR="00B821DA" w:rsidRPr="00F26E57">
        <w:rPr>
          <w:rFonts w:ascii="Arial Narrow" w:hAnsi="Arial Narrow"/>
          <w:sz w:val="20"/>
          <w:szCs w:val="20"/>
        </w:rPr>
        <w:t>above.</w:t>
      </w:r>
    </w:p>
    <w:p w:rsidR="002605C0" w:rsidRPr="00F26E57" w:rsidRDefault="00EE6654" w:rsidP="005F36BF">
      <w:pPr>
        <w:jc w:val="both"/>
        <w:rPr>
          <w:rFonts w:ascii="Arial Narrow" w:hAnsi="Arial Narrow"/>
          <w:sz w:val="20"/>
          <w:szCs w:val="20"/>
        </w:rPr>
      </w:pPr>
      <w:r w:rsidRPr="00F26E57">
        <w:rPr>
          <w:rFonts w:ascii="Arial Narrow" w:hAnsi="Arial Narrow"/>
          <w:sz w:val="20"/>
          <w:szCs w:val="20"/>
        </w:rPr>
        <w:t xml:space="preserve">Finally, </w:t>
      </w:r>
      <w:r w:rsidR="00FC0DD9" w:rsidRPr="00F26E57">
        <w:rPr>
          <w:rFonts w:ascii="Arial Narrow" w:hAnsi="Arial Narrow"/>
          <w:sz w:val="20"/>
          <w:szCs w:val="20"/>
        </w:rPr>
        <w:t xml:space="preserve">unlike </w:t>
      </w:r>
      <w:r w:rsidR="00FB0EEE" w:rsidRPr="00F26E57">
        <w:rPr>
          <w:rFonts w:ascii="Arial Narrow" w:hAnsi="Arial Narrow"/>
          <w:sz w:val="20"/>
          <w:szCs w:val="20"/>
        </w:rPr>
        <w:t xml:space="preserve">most </w:t>
      </w:r>
      <w:r w:rsidR="00FC0DD9" w:rsidRPr="00F26E57">
        <w:rPr>
          <w:rFonts w:ascii="Arial Narrow" w:hAnsi="Arial Narrow"/>
          <w:sz w:val="20"/>
          <w:szCs w:val="20"/>
        </w:rPr>
        <w:t xml:space="preserve">equity </w:t>
      </w:r>
      <w:r w:rsidR="00FB0EEE" w:rsidRPr="00F26E57">
        <w:rPr>
          <w:rFonts w:ascii="Arial Narrow" w:hAnsi="Arial Narrow"/>
          <w:sz w:val="20"/>
          <w:szCs w:val="20"/>
        </w:rPr>
        <w:t xml:space="preserve">and </w:t>
      </w:r>
      <w:r w:rsidR="00FC0DD9" w:rsidRPr="00F26E57">
        <w:rPr>
          <w:rFonts w:ascii="Arial Narrow" w:hAnsi="Arial Narrow"/>
          <w:sz w:val="20"/>
          <w:szCs w:val="20"/>
        </w:rPr>
        <w:t xml:space="preserve">debt of publicly-traded companies, holdings in private companies </w:t>
      </w:r>
      <w:r w:rsidR="00720418" w:rsidRPr="00F26E57">
        <w:rPr>
          <w:rFonts w:ascii="Arial Narrow" w:hAnsi="Arial Narrow"/>
          <w:sz w:val="20"/>
          <w:szCs w:val="20"/>
        </w:rPr>
        <w:t xml:space="preserve">may not be </w:t>
      </w:r>
      <w:r w:rsidR="00FC0DD9" w:rsidRPr="00F26E57">
        <w:rPr>
          <w:rFonts w:ascii="Arial Narrow" w:hAnsi="Arial Narrow"/>
          <w:sz w:val="20"/>
          <w:szCs w:val="20"/>
        </w:rPr>
        <w:t xml:space="preserve">easily or precisely valued.  </w:t>
      </w:r>
      <w:r w:rsidR="00720418" w:rsidRPr="00F26E57">
        <w:rPr>
          <w:rFonts w:ascii="Arial Narrow" w:hAnsi="Arial Narrow"/>
          <w:sz w:val="20"/>
          <w:szCs w:val="20"/>
        </w:rPr>
        <w:t>P</w:t>
      </w:r>
      <w:r w:rsidR="00B821DA" w:rsidRPr="00F26E57">
        <w:rPr>
          <w:rFonts w:ascii="Arial Narrow" w:hAnsi="Arial Narrow"/>
          <w:sz w:val="20"/>
          <w:szCs w:val="20"/>
        </w:rPr>
        <w:t>rivate compan</w:t>
      </w:r>
      <w:r w:rsidR="00FC0DD9" w:rsidRPr="00F26E57">
        <w:rPr>
          <w:rFonts w:ascii="Arial Narrow" w:hAnsi="Arial Narrow"/>
          <w:sz w:val="20"/>
          <w:szCs w:val="20"/>
        </w:rPr>
        <w:t xml:space="preserve">y valuation </w:t>
      </w:r>
      <w:r w:rsidR="00FB0EEE" w:rsidRPr="00F26E57">
        <w:rPr>
          <w:rFonts w:ascii="Arial Narrow" w:hAnsi="Arial Narrow"/>
          <w:sz w:val="20"/>
          <w:szCs w:val="20"/>
        </w:rPr>
        <w:t xml:space="preserve">methods </w:t>
      </w:r>
      <w:r w:rsidR="00720418" w:rsidRPr="00F26E57">
        <w:rPr>
          <w:rFonts w:ascii="Arial Narrow" w:hAnsi="Arial Narrow"/>
          <w:sz w:val="20"/>
          <w:szCs w:val="20"/>
        </w:rPr>
        <w:t xml:space="preserve">can be </w:t>
      </w:r>
      <w:r w:rsidR="00FB0EEE" w:rsidRPr="00F26E57">
        <w:rPr>
          <w:rFonts w:ascii="Arial Narrow" w:hAnsi="Arial Narrow"/>
          <w:sz w:val="20"/>
          <w:szCs w:val="20"/>
        </w:rPr>
        <w:t>less p</w:t>
      </w:r>
      <w:r w:rsidR="005F36BF" w:rsidRPr="00F26E57">
        <w:rPr>
          <w:rFonts w:ascii="Arial Narrow" w:hAnsi="Arial Narrow"/>
          <w:sz w:val="20"/>
          <w:szCs w:val="20"/>
        </w:rPr>
        <w:t>recise</w:t>
      </w:r>
      <w:r w:rsidR="00FB0EEE" w:rsidRPr="00F26E57">
        <w:rPr>
          <w:rFonts w:ascii="Arial Narrow" w:hAnsi="Arial Narrow"/>
          <w:sz w:val="20"/>
          <w:szCs w:val="20"/>
        </w:rPr>
        <w:t xml:space="preserve"> and more </w:t>
      </w:r>
      <w:r w:rsidR="005F36BF" w:rsidRPr="00F26E57">
        <w:rPr>
          <w:rFonts w:ascii="Arial Narrow" w:hAnsi="Arial Narrow"/>
          <w:sz w:val="20"/>
          <w:szCs w:val="20"/>
        </w:rPr>
        <w:t xml:space="preserve">time-consuming, </w:t>
      </w:r>
      <w:r w:rsidR="00720418" w:rsidRPr="00F26E57">
        <w:rPr>
          <w:rFonts w:ascii="Arial Narrow" w:hAnsi="Arial Narrow"/>
          <w:sz w:val="20"/>
          <w:szCs w:val="20"/>
        </w:rPr>
        <w:t xml:space="preserve">particularly </w:t>
      </w:r>
      <w:r w:rsidR="005F36BF" w:rsidRPr="00F26E57">
        <w:rPr>
          <w:rFonts w:ascii="Arial Narrow" w:hAnsi="Arial Narrow"/>
          <w:sz w:val="20"/>
          <w:szCs w:val="20"/>
        </w:rPr>
        <w:t>valuing portfolios containing hundreds or more individual company</w:t>
      </w:r>
      <w:r w:rsidR="00FB0EEE" w:rsidRPr="00F26E57">
        <w:rPr>
          <w:rFonts w:ascii="Arial Narrow" w:hAnsi="Arial Narrow"/>
          <w:sz w:val="20"/>
          <w:szCs w:val="20"/>
        </w:rPr>
        <w:t xml:space="preserve"> investments</w:t>
      </w:r>
      <w:r w:rsidR="005F36BF" w:rsidRPr="00F26E57">
        <w:rPr>
          <w:rFonts w:ascii="Arial Narrow" w:hAnsi="Arial Narrow"/>
          <w:sz w:val="20"/>
          <w:szCs w:val="20"/>
        </w:rPr>
        <w:t>.</w:t>
      </w:r>
      <w:r w:rsidR="00FC0DD9" w:rsidRPr="00F26E57">
        <w:rPr>
          <w:rFonts w:ascii="Arial Narrow" w:hAnsi="Arial Narrow"/>
          <w:sz w:val="20"/>
          <w:szCs w:val="20"/>
        </w:rPr>
        <w:t xml:space="preserve">  </w:t>
      </w:r>
      <w:r w:rsidR="00FB0EEE" w:rsidRPr="00F26E57">
        <w:rPr>
          <w:rFonts w:ascii="Arial Narrow" w:hAnsi="Arial Narrow"/>
          <w:sz w:val="20"/>
          <w:szCs w:val="20"/>
        </w:rPr>
        <w:t xml:space="preserve">Accordingly, private fund </w:t>
      </w:r>
      <w:r w:rsidR="00FC0DD9" w:rsidRPr="00F26E57">
        <w:rPr>
          <w:rFonts w:ascii="Arial Narrow" w:hAnsi="Arial Narrow"/>
          <w:sz w:val="20"/>
          <w:szCs w:val="20"/>
        </w:rPr>
        <w:t>investment</w:t>
      </w:r>
      <w:r w:rsidR="00FB0EEE" w:rsidRPr="00F26E57">
        <w:rPr>
          <w:rFonts w:ascii="Arial Narrow" w:hAnsi="Arial Narrow"/>
          <w:sz w:val="20"/>
          <w:szCs w:val="20"/>
        </w:rPr>
        <w:t xml:space="preserve"> values are often provided </w:t>
      </w:r>
      <w:r w:rsidR="00FC0DD9" w:rsidRPr="00F26E57">
        <w:rPr>
          <w:rFonts w:ascii="Arial Narrow" w:hAnsi="Arial Narrow"/>
          <w:sz w:val="20"/>
          <w:szCs w:val="20"/>
        </w:rPr>
        <w:t>quarterly</w:t>
      </w:r>
      <w:r w:rsidR="00FB0EEE" w:rsidRPr="00F26E57">
        <w:rPr>
          <w:rFonts w:ascii="Arial Narrow" w:hAnsi="Arial Narrow"/>
          <w:sz w:val="20"/>
          <w:szCs w:val="20"/>
        </w:rPr>
        <w:t xml:space="preserve"> – an investment consideration in its own right.</w:t>
      </w:r>
    </w:p>
    <w:p w:rsidR="00491553" w:rsidRPr="00F26E57" w:rsidRDefault="006F66DB" w:rsidP="00152E2C">
      <w:pPr>
        <w:jc w:val="both"/>
        <w:rPr>
          <w:rFonts w:ascii="Arial Narrow" w:hAnsi="Arial Narrow"/>
          <w:sz w:val="20"/>
          <w:szCs w:val="20"/>
        </w:rPr>
      </w:pPr>
      <w:r w:rsidRPr="00F26E57">
        <w:rPr>
          <w:rFonts w:ascii="Arial Narrow" w:hAnsi="Arial Narrow"/>
          <w:b/>
          <w:sz w:val="20"/>
          <w:szCs w:val="20"/>
        </w:rPr>
        <w:t>Investment Periods &amp; Fund Lifetimes</w:t>
      </w:r>
      <w:r w:rsidR="00487451" w:rsidRPr="00F26E57">
        <w:rPr>
          <w:rFonts w:ascii="Arial Narrow" w:hAnsi="Arial Narrow"/>
          <w:sz w:val="20"/>
          <w:szCs w:val="20"/>
        </w:rPr>
        <w:t xml:space="preserve">  </w:t>
      </w:r>
    </w:p>
    <w:p w:rsidR="003A79B7" w:rsidRPr="00F26E57" w:rsidRDefault="00E109E2" w:rsidP="00152E2C">
      <w:pPr>
        <w:jc w:val="both"/>
        <w:rPr>
          <w:rFonts w:ascii="Arial Narrow" w:hAnsi="Arial Narrow"/>
          <w:sz w:val="20"/>
          <w:szCs w:val="20"/>
        </w:rPr>
      </w:pPr>
      <w:r w:rsidRPr="00F26E57">
        <w:rPr>
          <w:rFonts w:ascii="Arial Narrow" w:hAnsi="Arial Narrow"/>
          <w:sz w:val="20"/>
          <w:szCs w:val="20"/>
        </w:rPr>
        <w:t xml:space="preserve">Private equity funds typically invest committed capital over 3-4 years, referred to as the </w:t>
      </w:r>
      <w:r w:rsidRPr="00F26E57">
        <w:rPr>
          <w:rFonts w:ascii="Arial Narrow" w:hAnsi="Arial Narrow"/>
          <w:b/>
          <w:sz w:val="20"/>
          <w:szCs w:val="20"/>
        </w:rPr>
        <w:t>investment period</w:t>
      </w:r>
      <w:r w:rsidR="00720418" w:rsidRPr="00F26E57">
        <w:rPr>
          <w:rFonts w:ascii="Arial Narrow" w:hAnsi="Arial Narrow"/>
          <w:sz w:val="20"/>
          <w:szCs w:val="20"/>
        </w:rPr>
        <w:t>.</w:t>
      </w:r>
      <w:r w:rsidRPr="00F26E57">
        <w:rPr>
          <w:rFonts w:ascii="Arial Narrow" w:hAnsi="Arial Narrow"/>
          <w:sz w:val="20"/>
          <w:szCs w:val="20"/>
        </w:rPr>
        <w:t xml:space="preserve"> </w:t>
      </w:r>
      <w:r w:rsidR="00720418" w:rsidRPr="00F26E57">
        <w:rPr>
          <w:rFonts w:ascii="Arial Narrow" w:hAnsi="Arial Narrow"/>
          <w:sz w:val="20"/>
          <w:szCs w:val="20"/>
        </w:rPr>
        <w:t xml:space="preserve">Funds can </w:t>
      </w:r>
      <w:r w:rsidRPr="00F26E57">
        <w:rPr>
          <w:rFonts w:ascii="Arial Narrow" w:hAnsi="Arial Narrow"/>
          <w:sz w:val="20"/>
          <w:szCs w:val="20"/>
        </w:rPr>
        <w:t xml:space="preserve">call for investors’ capital throughout this period, roughly </w:t>
      </w:r>
      <w:r w:rsidRPr="00F26E57">
        <w:rPr>
          <w:rFonts w:ascii="Arial Narrow" w:hAnsi="Arial Narrow"/>
          <w:i/>
          <w:sz w:val="20"/>
          <w:szCs w:val="20"/>
        </w:rPr>
        <w:t>as</w:t>
      </w:r>
      <w:r w:rsidRPr="00F26E57">
        <w:rPr>
          <w:rFonts w:ascii="Arial Narrow" w:hAnsi="Arial Narrow"/>
          <w:sz w:val="20"/>
          <w:szCs w:val="20"/>
        </w:rPr>
        <w:t xml:space="preserve"> investments are actually made by the fund managers.  Fund subscribers should be familiar with the </w:t>
      </w:r>
      <w:r w:rsidR="00362E02" w:rsidRPr="00F26E57">
        <w:rPr>
          <w:rFonts w:ascii="Arial Narrow" w:hAnsi="Arial Narrow"/>
          <w:sz w:val="20"/>
          <w:szCs w:val="20"/>
        </w:rPr>
        <w:t xml:space="preserve">anticipated </w:t>
      </w:r>
      <w:r w:rsidRPr="00F26E57">
        <w:rPr>
          <w:rFonts w:ascii="Arial Narrow" w:hAnsi="Arial Narrow"/>
          <w:sz w:val="20"/>
          <w:szCs w:val="20"/>
        </w:rPr>
        <w:t xml:space="preserve">timing of fund investments, in part so that </w:t>
      </w:r>
      <w:r w:rsidR="00362E02" w:rsidRPr="00F26E57">
        <w:rPr>
          <w:rFonts w:ascii="Arial Narrow" w:hAnsi="Arial Narrow"/>
          <w:sz w:val="20"/>
          <w:szCs w:val="20"/>
        </w:rPr>
        <w:t xml:space="preserve">cash </w:t>
      </w:r>
      <w:r w:rsidRPr="00F26E57">
        <w:rPr>
          <w:rFonts w:ascii="Arial Narrow" w:hAnsi="Arial Narrow"/>
          <w:sz w:val="20"/>
          <w:szCs w:val="20"/>
        </w:rPr>
        <w:t>committed</w:t>
      </w:r>
      <w:r w:rsidR="00362E02" w:rsidRPr="00F26E57">
        <w:rPr>
          <w:rFonts w:ascii="Arial Narrow" w:hAnsi="Arial Narrow"/>
          <w:sz w:val="20"/>
          <w:szCs w:val="20"/>
        </w:rPr>
        <w:t xml:space="preserve"> to a fund </w:t>
      </w:r>
      <w:r w:rsidR="00254F94" w:rsidRPr="00F26E57">
        <w:rPr>
          <w:rFonts w:ascii="Arial Narrow" w:hAnsi="Arial Narrow"/>
          <w:sz w:val="20"/>
          <w:szCs w:val="20"/>
        </w:rPr>
        <w:t xml:space="preserve">can be made </w:t>
      </w:r>
      <w:r w:rsidR="00362E02" w:rsidRPr="00F26E57">
        <w:rPr>
          <w:rFonts w:ascii="Arial Narrow" w:hAnsi="Arial Narrow"/>
          <w:sz w:val="20"/>
          <w:szCs w:val="20"/>
        </w:rPr>
        <w:t xml:space="preserve">available </w:t>
      </w:r>
      <w:r w:rsidR="00254F94" w:rsidRPr="00F26E57">
        <w:rPr>
          <w:rFonts w:ascii="Arial Narrow" w:hAnsi="Arial Narrow"/>
          <w:sz w:val="20"/>
          <w:szCs w:val="20"/>
        </w:rPr>
        <w:t xml:space="preserve">if and </w:t>
      </w:r>
      <w:r w:rsidR="00362E02" w:rsidRPr="00F26E57">
        <w:rPr>
          <w:rFonts w:ascii="Arial Narrow" w:hAnsi="Arial Narrow"/>
          <w:sz w:val="20"/>
          <w:szCs w:val="20"/>
        </w:rPr>
        <w:t>when needed.</w:t>
      </w:r>
      <w:r w:rsidR="000E322C" w:rsidRPr="00F26E57">
        <w:rPr>
          <w:rFonts w:ascii="Arial Narrow" w:hAnsi="Arial Narrow"/>
          <w:sz w:val="20"/>
          <w:szCs w:val="20"/>
        </w:rPr>
        <w:t xml:space="preserve">  </w:t>
      </w:r>
      <w:r w:rsidR="00720418" w:rsidRPr="00F26E57">
        <w:rPr>
          <w:rFonts w:ascii="Arial Narrow" w:hAnsi="Arial Narrow"/>
          <w:sz w:val="20"/>
          <w:szCs w:val="20"/>
        </w:rPr>
        <w:t>O</w:t>
      </w:r>
      <w:r w:rsidR="000E322C" w:rsidRPr="00F26E57">
        <w:rPr>
          <w:rFonts w:ascii="Arial Narrow" w:hAnsi="Arial Narrow"/>
          <w:sz w:val="20"/>
          <w:szCs w:val="20"/>
        </w:rPr>
        <w:t xml:space="preserve">nce the initial investment period and possible extensions have passed, </w:t>
      </w:r>
      <w:r w:rsidR="00720418" w:rsidRPr="00F26E57">
        <w:rPr>
          <w:rFonts w:ascii="Arial Narrow" w:hAnsi="Arial Narrow"/>
          <w:sz w:val="20"/>
          <w:szCs w:val="20"/>
        </w:rPr>
        <w:t xml:space="preserve">typically </w:t>
      </w:r>
      <w:r w:rsidR="000E322C" w:rsidRPr="00F26E57">
        <w:rPr>
          <w:rFonts w:ascii="Arial Narrow" w:hAnsi="Arial Narrow"/>
          <w:sz w:val="20"/>
          <w:szCs w:val="20"/>
        </w:rPr>
        <w:t>no new investments or capital calls can be made by the fund.</w:t>
      </w:r>
    </w:p>
    <w:p w:rsidR="00BD003A" w:rsidRPr="00F26E57" w:rsidRDefault="00F9403F" w:rsidP="00152E2C">
      <w:pPr>
        <w:jc w:val="both"/>
        <w:rPr>
          <w:rFonts w:ascii="Arial Narrow" w:hAnsi="Arial Narrow"/>
          <w:sz w:val="20"/>
          <w:szCs w:val="20"/>
        </w:rPr>
      </w:pPr>
      <w:r w:rsidRPr="00F26E57">
        <w:rPr>
          <w:rFonts w:ascii="Arial Narrow" w:hAnsi="Arial Narrow"/>
          <w:b/>
          <w:sz w:val="20"/>
          <w:szCs w:val="20"/>
        </w:rPr>
        <w:t>Capital calls</w:t>
      </w:r>
      <w:r w:rsidRPr="00F26E57">
        <w:rPr>
          <w:rFonts w:ascii="Arial Narrow" w:hAnsi="Arial Narrow"/>
          <w:sz w:val="20"/>
          <w:szCs w:val="20"/>
        </w:rPr>
        <w:t>,</w:t>
      </w:r>
      <w:r w:rsidRPr="00F26E57">
        <w:rPr>
          <w:rFonts w:ascii="Arial Narrow" w:hAnsi="Arial Narrow"/>
          <w:b/>
          <w:sz w:val="20"/>
          <w:szCs w:val="20"/>
        </w:rPr>
        <w:t xml:space="preserve"> </w:t>
      </w:r>
      <w:r w:rsidRPr="00F26E57">
        <w:rPr>
          <w:rFonts w:ascii="Arial Narrow" w:hAnsi="Arial Narrow"/>
          <w:sz w:val="20"/>
          <w:szCs w:val="20"/>
        </w:rPr>
        <w:t xml:space="preserve">also known as </w:t>
      </w:r>
      <w:r w:rsidRPr="00F26E57">
        <w:rPr>
          <w:rFonts w:ascii="Arial Narrow" w:hAnsi="Arial Narrow"/>
          <w:b/>
          <w:sz w:val="20"/>
          <w:szCs w:val="20"/>
        </w:rPr>
        <w:t>drawdown notices</w:t>
      </w:r>
      <w:r w:rsidRPr="00F26E57">
        <w:rPr>
          <w:rFonts w:ascii="Arial Narrow" w:hAnsi="Arial Narrow"/>
          <w:sz w:val="20"/>
          <w:szCs w:val="20"/>
        </w:rPr>
        <w:t>,</w:t>
      </w:r>
      <w:r w:rsidRPr="00F26E57">
        <w:rPr>
          <w:rFonts w:ascii="Arial Narrow" w:hAnsi="Arial Narrow"/>
          <w:b/>
          <w:sz w:val="20"/>
          <w:szCs w:val="20"/>
        </w:rPr>
        <w:t xml:space="preserve"> </w:t>
      </w:r>
      <w:r w:rsidR="00720418" w:rsidRPr="00F26E57">
        <w:rPr>
          <w:rFonts w:ascii="Arial Narrow" w:hAnsi="Arial Narrow"/>
          <w:sz w:val="20"/>
          <w:szCs w:val="20"/>
        </w:rPr>
        <w:t xml:space="preserve">generally </w:t>
      </w:r>
      <w:r w:rsidR="00131CF3" w:rsidRPr="00F26E57">
        <w:rPr>
          <w:rFonts w:ascii="Arial Narrow" w:hAnsi="Arial Narrow"/>
          <w:sz w:val="20"/>
          <w:szCs w:val="20"/>
        </w:rPr>
        <w:t xml:space="preserve">arrive as email notifications and provide </w:t>
      </w:r>
      <w:r w:rsidRPr="00F26E57">
        <w:rPr>
          <w:rFonts w:ascii="Arial Narrow" w:hAnsi="Arial Narrow"/>
          <w:sz w:val="20"/>
          <w:szCs w:val="20"/>
        </w:rPr>
        <w:t xml:space="preserve">at least </w:t>
      </w:r>
      <w:r w:rsidR="00131CF3" w:rsidRPr="00F26E57">
        <w:rPr>
          <w:rFonts w:ascii="Arial Narrow" w:hAnsi="Arial Narrow"/>
          <w:sz w:val="20"/>
          <w:szCs w:val="20"/>
        </w:rPr>
        <w:t>10 days’ advance notice for required wire transfers to the fund administrator.</w:t>
      </w:r>
      <w:r w:rsidR="001F6890" w:rsidRPr="00F26E57">
        <w:rPr>
          <w:rFonts w:ascii="Arial Narrow" w:hAnsi="Arial Narrow"/>
          <w:sz w:val="20"/>
          <w:szCs w:val="20"/>
        </w:rPr>
        <w:t xml:space="preserve">  Many private funds enable automatic wire transfers from an investor’s </w:t>
      </w:r>
      <w:r w:rsidR="00720418" w:rsidRPr="00F26E57">
        <w:rPr>
          <w:rFonts w:ascii="Arial Narrow" w:hAnsi="Arial Narrow"/>
          <w:sz w:val="20"/>
          <w:szCs w:val="20"/>
        </w:rPr>
        <w:t>investment</w:t>
      </w:r>
      <w:r w:rsidR="001F6890" w:rsidRPr="00F26E57">
        <w:rPr>
          <w:rFonts w:ascii="Arial Narrow" w:hAnsi="Arial Narrow"/>
          <w:sz w:val="20"/>
          <w:szCs w:val="20"/>
        </w:rPr>
        <w:t xml:space="preserve"> account, if desired, to streamline capital call processes that can occur several times per year.</w:t>
      </w:r>
      <w:r w:rsidR="00254F94" w:rsidRPr="00F26E57">
        <w:rPr>
          <w:rFonts w:ascii="Arial Narrow" w:hAnsi="Arial Narrow"/>
          <w:sz w:val="20"/>
          <w:szCs w:val="20"/>
        </w:rPr>
        <w:t xml:space="preserve">  Funds must be available in any linked account from which automated wire transfers to originate.</w:t>
      </w:r>
    </w:p>
    <w:p w:rsidR="000D77B7" w:rsidRPr="00F26E57" w:rsidRDefault="00706A3A" w:rsidP="000D77B7">
      <w:pPr>
        <w:pStyle w:val="Caption"/>
        <w:keepNext/>
        <w:spacing w:after="0"/>
        <w:jc w:val="both"/>
        <w:rPr>
          <w:rFonts w:ascii="Arial Narrow" w:hAnsi="Arial Narrow"/>
          <w:color w:val="000000" w:themeColor="text1"/>
        </w:rPr>
      </w:pPr>
      <w:r w:rsidRPr="00F26E57">
        <w:rPr>
          <w:rFonts w:ascii="Arial Narrow" w:hAnsi="Arial Narrow"/>
          <w:color w:val="000000" w:themeColor="text1"/>
        </w:rPr>
        <w:fldChar w:fldCharType="begin"/>
      </w:r>
      <w:r w:rsidRPr="00F26E57">
        <w:rPr>
          <w:rFonts w:ascii="Arial Narrow" w:hAnsi="Arial Narrow"/>
          <w:color w:val="000000" w:themeColor="text1"/>
        </w:rPr>
        <w:instrText xml:space="preserve"> SEQ Figure \* ARABIC </w:instrText>
      </w:r>
      <w:r w:rsidRPr="00F26E57">
        <w:rPr>
          <w:rFonts w:ascii="Arial Narrow" w:hAnsi="Arial Narrow"/>
          <w:color w:val="000000" w:themeColor="text1"/>
        </w:rPr>
        <w:fldChar w:fldCharType="separate"/>
      </w:r>
      <w:r w:rsidR="00FD36DC" w:rsidRPr="00F26E57">
        <w:rPr>
          <w:rFonts w:ascii="Arial Narrow" w:hAnsi="Arial Narrow"/>
          <w:noProof/>
          <w:color w:val="000000" w:themeColor="text1"/>
        </w:rPr>
        <w:t>1</w:t>
      </w:r>
      <w:r w:rsidRPr="00F26E57">
        <w:rPr>
          <w:rFonts w:ascii="Arial Narrow" w:hAnsi="Arial Narrow"/>
          <w:color w:val="000000" w:themeColor="text1"/>
        </w:rPr>
        <w:fldChar w:fldCharType="end"/>
      </w:r>
      <w:r w:rsidR="000D77B7" w:rsidRPr="00F26E57">
        <w:rPr>
          <w:rFonts w:ascii="Arial Narrow" w:hAnsi="Arial Narrow"/>
          <w:color w:val="000000" w:themeColor="text1"/>
        </w:rPr>
        <w:t xml:space="preserve"> Hypothetical </w:t>
      </w:r>
      <w:r w:rsidR="00E11655" w:rsidRPr="00F26E57">
        <w:rPr>
          <w:rFonts w:ascii="Arial Narrow" w:hAnsi="Arial Narrow"/>
          <w:color w:val="000000" w:themeColor="text1"/>
        </w:rPr>
        <w:t>PE</w:t>
      </w:r>
      <w:r w:rsidR="000D77B7" w:rsidRPr="00F26E57">
        <w:rPr>
          <w:rFonts w:ascii="Arial Narrow" w:hAnsi="Arial Narrow"/>
          <w:color w:val="000000" w:themeColor="text1"/>
        </w:rPr>
        <w:t xml:space="preserve"> Fund Lifecycle</w:t>
      </w:r>
    </w:p>
    <w:p w:rsidR="00487451" w:rsidRPr="00F26E57" w:rsidRDefault="00BD3FF9" w:rsidP="00152E2C">
      <w:pPr>
        <w:jc w:val="both"/>
        <w:rPr>
          <w:rFonts w:ascii="Arial Narrow" w:hAnsi="Arial Narrow"/>
          <w:sz w:val="20"/>
          <w:szCs w:val="20"/>
        </w:rPr>
      </w:pPr>
      <w:r w:rsidRPr="00F26E57">
        <w:rPr>
          <w:rFonts w:ascii="Arial Narrow" w:hAnsi="Arial Narrow"/>
          <w:noProof/>
          <w:sz w:val="20"/>
          <w:szCs w:val="20"/>
        </w:rPr>
        <w:drawing>
          <wp:inline distT="0" distB="0" distL="0" distR="0" wp14:anchorId="76E7830E" wp14:editId="2A9B971D">
            <wp:extent cx="2948940" cy="128098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8940" cy="1280988"/>
                    </a:xfrm>
                    <a:prstGeom prst="rect">
                      <a:avLst/>
                    </a:prstGeom>
                    <a:noFill/>
                    <a:ln>
                      <a:noFill/>
                    </a:ln>
                  </pic:spPr>
                </pic:pic>
              </a:graphicData>
            </a:graphic>
          </wp:inline>
        </w:drawing>
      </w:r>
    </w:p>
    <w:p w:rsidR="001F6890" w:rsidRPr="00F26E57" w:rsidRDefault="001F6890" w:rsidP="00152E2C">
      <w:pPr>
        <w:jc w:val="both"/>
        <w:rPr>
          <w:rFonts w:ascii="Arial Narrow" w:hAnsi="Arial Narrow"/>
          <w:sz w:val="20"/>
          <w:szCs w:val="20"/>
        </w:rPr>
      </w:pPr>
      <w:r w:rsidRPr="00F26E57">
        <w:rPr>
          <w:rFonts w:ascii="Arial Narrow" w:hAnsi="Arial Narrow"/>
          <w:sz w:val="20"/>
          <w:szCs w:val="20"/>
        </w:rPr>
        <w:t xml:space="preserve">During the investment period, fund managers often </w:t>
      </w:r>
      <w:r w:rsidRPr="00F26E57">
        <w:rPr>
          <w:rFonts w:ascii="Arial Narrow" w:hAnsi="Arial Narrow"/>
          <w:b/>
          <w:sz w:val="20"/>
          <w:szCs w:val="20"/>
        </w:rPr>
        <w:t>recycle</w:t>
      </w:r>
      <w:r w:rsidRPr="00F26E57">
        <w:rPr>
          <w:rFonts w:ascii="Arial Narrow" w:hAnsi="Arial Narrow"/>
          <w:sz w:val="20"/>
          <w:szCs w:val="20"/>
        </w:rPr>
        <w:t xml:space="preserve"> or re-invest income</w:t>
      </w:r>
      <w:r w:rsidR="000E322C" w:rsidRPr="00F26E57">
        <w:rPr>
          <w:rFonts w:ascii="Arial Narrow" w:hAnsi="Arial Narrow"/>
          <w:sz w:val="20"/>
          <w:szCs w:val="20"/>
        </w:rPr>
        <w:t xml:space="preserve"> or other </w:t>
      </w:r>
      <w:r w:rsidRPr="00F26E57">
        <w:rPr>
          <w:rFonts w:ascii="Arial Narrow" w:hAnsi="Arial Narrow"/>
          <w:sz w:val="20"/>
          <w:szCs w:val="20"/>
        </w:rPr>
        <w:t xml:space="preserve">distributions </w:t>
      </w:r>
      <w:r w:rsidR="00254F94" w:rsidRPr="00F26E57">
        <w:rPr>
          <w:rFonts w:ascii="Arial Narrow" w:hAnsi="Arial Narrow"/>
          <w:sz w:val="20"/>
          <w:szCs w:val="20"/>
        </w:rPr>
        <w:t>that may result from initial fund investments</w:t>
      </w:r>
      <w:r w:rsidRPr="00F26E57">
        <w:rPr>
          <w:rFonts w:ascii="Arial Narrow" w:hAnsi="Arial Narrow"/>
          <w:sz w:val="20"/>
          <w:szCs w:val="20"/>
        </w:rPr>
        <w:t>.</w:t>
      </w:r>
      <w:r w:rsidR="00254F94" w:rsidRPr="00F26E57">
        <w:rPr>
          <w:rFonts w:ascii="Arial Narrow" w:hAnsi="Arial Narrow"/>
          <w:sz w:val="20"/>
          <w:szCs w:val="20"/>
        </w:rPr>
        <w:t xml:space="preserve">  Each type of fund – equity debt, hedge, etc. – and each specific fund will outline its practices in </w:t>
      </w:r>
      <w:r w:rsidR="000E322C" w:rsidRPr="00F26E57">
        <w:rPr>
          <w:rFonts w:ascii="Arial Narrow" w:hAnsi="Arial Narrow"/>
          <w:sz w:val="20"/>
          <w:szCs w:val="20"/>
        </w:rPr>
        <w:t xml:space="preserve">a </w:t>
      </w:r>
      <w:r w:rsidR="00254F94" w:rsidRPr="00F26E57">
        <w:rPr>
          <w:rFonts w:ascii="Arial Narrow" w:hAnsi="Arial Narrow"/>
          <w:b/>
          <w:sz w:val="20"/>
          <w:szCs w:val="20"/>
        </w:rPr>
        <w:t>private placement memorandum</w:t>
      </w:r>
      <w:r w:rsidR="00254F94" w:rsidRPr="00F26E57">
        <w:rPr>
          <w:rFonts w:ascii="Arial Narrow" w:hAnsi="Arial Narrow"/>
          <w:sz w:val="20"/>
          <w:szCs w:val="20"/>
        </w:rPr>
        <w:t xml:space="preserve"> </w:t>
      </w:r>
      <w:r w:rsidR="000E322C" w:rsidRPr="00F26E57">
        <w:rPr>
          <w:rFonts w:ascii="Arial Narrow" w:hAnsi="Arial Narrow"/>
          <w:sz w:val="20"/>
          <w:szCs w:val="20"/>
        </w:rPr>
        <w:t>or similar document.</w:t>
      </w:r>
      <w:r w:rsidR="00254F94" w:rsidRPr="00F26E57">
        <w:rPr>
          <w:rFonts w:ascii="Arial Narrow" w:hAnsi="Arial Narrow"/>
          <w:sz w:val="20"/>
          <w:szCs w:val="20"/>
        </w:rPr>
        <w:t xml:space="preserve"> </w:t>
      </w:r>
    </w:p>
    <w:p w:rsidR="000E322C" w:rsidRPr="00F26E57" w:rsidRDefault="000E322C" w:rsidP="00152E2C">
      <w:pPr>
        <w:jc w:val="both"/>
        <w:rPr>
          <w:rFonts w:ascii="Arial Narrow" w:hAnsi="Arial Narrow"/>
          <w:sz w:val="20"/>
          <w:szCs w:val="20"/>
        </w:rPr>
      </w:pPr>
      <w:r w:rsidRPr="00F26E57">
        <w:rPr>
          <w:rFonts w:ascii="Arial Narrow" w:hAnsi="Arial Narrow"/>
          <w:sz w:val="20"/>
          <w:szCs w:val="20"/>
        </w:rPr>
        <w:t xml:space="preserve">The </w:t>
      </w:r>
      <w:r w:rsidRPr="00F26E57">
        <w:rPr>
          <w:rFonts w:ascii="Arial Narrow" w:hAnsi="Arial Narrow"/>
          <w:b/>
          <w:sz w:val="20"/>
          <w:szCs w:val="20"/>
        </w:rPr>
        <w:t>realization</w:t>
      </w:r>
      <w:r w:rsidRPr="00F26E57">
        <w:rPr>
          <w:rFonts w:ascii="Arial Narrow" w:hAnsi="Arial Narrow"/>
          <w:sz w:val="20"/>
          <w:szCs w:val="20"/>
        </w:rPr>
        <w:t xml:space="preserve"> phase of a private fund, and annual extensions that can last 1-2 years</w:t>
      </w:r>
      <w:r w:rsidR="00A729E2" w:rsidRPr="00F26E57">
        <w:rPr>
          <w:rFonts w:ascii="Arial Narrow" w:hAnsi="Arial Narrow"/>
          <w:sz w:val="20"/>
          <w:szCs w:val="20"/>
        </w:rPr>
        <w:t xml:space="preserve"> or more</w:t>
      </w:r>
      <w:r w:rsidRPr="00F26E57">
        <w:rPr>
          <w:rFonts w:ascii="Arial Narrow" w:hAnsi="Arial Narrow"/>
          <w:sz w:val="20"/>
          <w:szCs w:val="20"/>
        </w:rPr>
        <w:t xml:space="preserve">, </w:t>
      </w:r>
      <w:r w:rsidR="00815A4C" w:rsidRPr="00F26E57">
        <w:rPr>
          <w:rFonts w:ascii="Arial Narrow" w:hAnsi="Arial Narrow"/>
          <w:sz w:val="20"/>
          <w:szCs w:val="20"/>
        </w:rPr>
        <w:t xml:space="preserve">allow fund investments to run their </w:t>
      </w:r>
      <w:r w:rsidR="000D77B7" w:rsidRPr="00F26E57">
        <w:rPr>
          <w:rFonts w:ascii="Arial Narrow" w:hAnsi="Arial Narrow"/>
          <w:sz w:val="20"/>
          <w:szCs w:val="20"/>
        </w:rPr>
        <w:t xml:space="preserve">intended </w:t>
      </w:r>
      <w:r w:rsidR="00815A4C" w:rsidRPr="00F26E57">
        <w:rPr>
          <w:rFonts w:ascii="Arial Narrow" w:hAnsi="Arial Narrow"/>
          <w:sz w:val="20"/>
          <w:szCs w:val="20"/>
        </w:rPr>
        <w:t xml:space="preserve">course, distributing </w:t>
      </w:r>
      <w:r w:rsidR="00A729E2" w:rsidRPr="00F26E57">
        <w:rPr>
          <w:rFonts w:ascii="Arial Narrow" w:hAnsi="Arial Narrow"/>
          <w:sz w:val="20"/>
          <w:szCs w:val="20"/>
        </w:rPr>
        <w:t xml:space="preserve">potential </w:t>
      </w:r>
      <w:r w:rsidR="00815A4C" w:rsidRPr="00F26E57">
        <w:rPr>
          <w:rFonts w:ascii="Arial Narrow" w:hAnsi="Arial Narrow"/>
          <w:sz w:val="20"/>
          <w:szCs w:val="20"/>
        </w:rPr>
        <w:t xml:space="preserve">investment proceeds to fund investors if and </w:t>
      </w:r>
      <w:r w:rsidR="0025341D" w:rsidRPr="00F26E57">
        <w:rPr>
          <w:rFonts w:ascii="Arial Narrow" w:hAnsi="Arial Narrow"/>
          <w:sz w:val="20"/>
          <w:szCs w:val="20"/>
        </w:rPr>
        <w:t xml:space="preserve">roughly </w:t>
      </w:r>
      <w:r w:rsidR="00815A4C" w:rsidRPr="00F26E57">
        <w:rPr>
          <w:rFonts w:ascii="Arial Narrow" w:hAnsi="Arial Narrow"/>
          <w:sz w:val="20"/>
          <w:szCs w:val="20"/>
        </w:rPr>
        <w:t xml:space="preserve">as they </w:t>
      </w:r>
      <w:r w:rsidR="0025341D" w:rsidRPr="00F26E57">
        <w:rPr>
          <w:rFonts w:ascii="Arial Narrow" w:hAnsi="Arial Narrow"/>
          <w:sz w:val="20"/>
          <w:szCs w:val="20"/>
        </w:rPr>
        <w:t>occur</w:t>
      </w:r>
      <w:r w:rsidR="00815A4C" w:rsidRPr="00F26E57">
        <w:rPr>
          <w:rFonts w:ascii="Arial Narrow" w:hAnsi="Arial Narrow"/>
          <w:sz w:val="20"/>
          <w:szCs w:val="20"/>
        </w:rPr>
        <w:t xml:space="preserve">.  </w:t>
      </w:r>
      <w:r w:rsidR="0025341D" w:rsidRPr="00F26E57">
        <w:rPr>
          <w:rFonts w:ascii="Arial Narrow" w:hAnsi="Arial Narrow"/>
          <w:sz w:val="20"/>
          <w:szCs w:val="20"/>
        </w:rPr>
        <w:t xml:space="preserve">A </w:t>
      </w:r>
      <w:r w:rsidR="00CF263F" w:rsidRPr="00F26E57">
        <w:rPr>
          <w:rFonts w:ascii="Arial Narrow" w:hAnsi="Arial Narrow"/>
          <w:sz w:val="20"/>
          <w:szCs w:val="20"/>
        </w:rPr>
        <w:t xml:space="preserve">broad </w:t>
      </w:r>
      <w:r w:rsidR="0025341D" w:rsidRPr="00F26E57">
        <w:rPr>
          <w:rFonts w:ascii="Arial Narrow" w:hAnsi="Arial Narrow"/>
          <w:sz w:val="20"/>
          <w:szCs w:val="20"/>
        </w:rPr>
        <w:t>range of investment outcomes</w:t>
      </w:r>
      <w:r w:rsidR="00CF263F" w:rsidRPr="00F26E57">
        <w:rPr>
          <w:rFonts w:ascii="Arial Narrow" w:hAnsi="Arial Narrow"/>
          <w:sz w:val="20"/>
          <w:szCs w:val="20"/>
        </w:rPr>
        <w:t xml:space="preserve"> – from </w:t>
      </w:r>
      <w:proofErr w:type="spellStart"/>
      <w:r w:rsidR="00CF263F" w:rsidRPr="00F26E57">
        <w:rPr>
          <w:rFonts w:ascii="Arial Narrow" w:hAnsi="Arial Narrow"/>
          <w:sz w:val="20"/>
          <w:szCs w:val="20"/>
        </w:rPr>
        <w:t>M&amp;A</w:t>
      </w:r>
      <w:proofErr w:type="spellEnd"/>
      <w:r w:rsidR="00CF263F" w:rsidRPr="00F26E57">
        <w:rPr>
          <w:rFonts w:ascii="Arial Narrow" w:hAnsi="Arial Narrow"/>
          <w:sz w:val="20"/>
          <w:szCs w:val="20"/>
        </w:rPr>
        <w:t xml:space="preserve"> and IPOs, to securities sales, interest or royalty income, etc. – can trigger </w:t>
      </w:r>
      <w:r w:rsidR="0025341D" w:rsidRPr="00F26E57">
        <w:rPr>
          <w:rFonts w:ascii="Arial Narrow" w:hAnsi="Arial Narrow"/>
          <w:sz w:val="20"/>
          <w:szCs w:val="20"/>
        </w:rPr>
        <w:t>investment realizations for fund subscribers</w:t>
      </w:r>
      <w:r w:rsidR="00CF263F" w:rsidRPr="00F26E57">
        <w:rPr>
          <w:rFonts w:ascii="Arial Narrow" w:hAnsi="Arial Narrow"/>
          <w:sz w:val="20"/>
          <w:szCs w:val="20"/>
        </w:rPr>
        <w:t xml:space="preserve">.  It all depends upon </w:t>
      </w:r>
      <w:r w:rsidR="00815A4C" w:rsidRPr="00F26E57">
        <w:rPr>
          <w:rFonts w:ascii="Arial Narrow" w:hAnsi="Arial Narrow"/>
          <w:sz w:val="20"/>
          <w:szCs w:val="20"/>
        </w:rPr>
        <w:t>the strategy</w:t>
      </w:r>
      <w:r w:rsidR="006A07C9" w:rsidRPr="00F26E57">
        <w:rPr>
          <w:rFonts w:ascii="Arial Narrow" w:hAnsi="Arial Narrow"/>
          <w:sz w:val="20"/>
          <w:szCs w:val="20"/>
        </w:rPr>
        <w:t xml:space="preserve"> </w:t>
      </w:r>
      <w:r w:rsidR="00A729E2" w:rsidRPr="00F26E57">
        <w:rPr>
          <w:rFonts w:ascii="Arial Narrow" w:hAnsi="Arial Narrow"/>
          <w:sz w:val="20"/>
          <w:szCs w:val="20"/>
        </w:rPr>
        <w:t>employed</w:t>
      </w:r>
      <w:r w:rsidR="00CF263F" w:rsidRPr="00F26E57">
        <w:rPr>
          <w:rFonts w:ascii="Arial Narrow" w:hAnsi="Arial Narrow"/>
          <w:sz w:val="20"/>
          <w:szCs w:val="20"/>
        </w:rPr>
        <w:t>, management execution, and fund outcomes achieved.</w:t>
      </w:r>
    </w:p>
    <w:p w:rsidR="00EB6A0C" w:rsidRPr="00F26E57" w:rsidRDefault="000F5DCE" w:rsidP="00152E2C">
      <w:pPr>
        <w:jc w:val="both"/>
        <w:rPr>
          <w:rFonts w:ascii="Arial Narrow" w:hAnsi="Arial Narrow"/>
          <w:sz w:val="20"/>
          <w:szCs w:val="20"/>
        </w:rPr>
      </w:pPr>
      <w:r w:rsidRPr="00F26E57">
        <w:rPr>
          <w:rFonts w:ascii="Arial Narrow" w:hAnsi="Arial Narrow"/>
          <w:b/>
          <w:sz w:val="20"/>
          <w:szCs w:val="20"/>
        </w:rPr>
        <w:t xml:space="preserve">Drawdowns </w:t>
      </w:r>
      <w:r w:rsidR="00706A3A" w:rsidRPr="00F26E57">
        <w:rPr>
          <w:rFonts w:ascii="Arial Narrow" w:hAnsi="Arial Narrow"/>
          <w:sz w:val="20"/>
          <w:szCs w:val="20"/>
        </w:rPr>
        <w:t xml:space="preserve">  The multi-year investment period</w:t>
      </w:r>
      <w:r w:rsidR="00EB6A0C" w:rsidRPr="00F26E57">
        <w:rPr>
          <w:rFonts w:ascii="Arial Narrow" w:hAnsi="Arial Narrow"/>
          <w:sz w:val="20"/>
          <w:szCs w:val="20"/>
        </w:rPr>
        <w:t>,</w:t>
      </w:r>
      <w:r w:rsidR="00706A3A" w:rsidRPr="00F26E57">
        <w:rPr>
          <w:rFonts w:ascii="Arial Narrow" w:hAnsi="Arial Narrow"/>
          <w:sz w:val="20"/>
          <w:szCs w:val="20"/>
        </w:rPr>
        <w:t xml:space="preserve"> and even longer-term realization period common to private equity funds</w:t>
      </w:r>
      <w:r w:rsidR="00EB6A0C" w:rsidRPr="00F26E57">
        <w:rPr>
          <w:rFonts w:ascii="Arial Narrow" w:hAnsi="Arial Narrow"/>
          <w:sz w:val="20"/>
          <w:szCs w:val="20"/>
        </w:rPr>
        <w:t>,</w:t>
      </w:r>
      <w:r w:rsidR="00706A3A" w:rsidRPr="00F26E57">
        <w:rPr>
          <w:rFonts w:ascii="Arial Narrow" w:hAnsi="Arial Narrow"/>
          <w:sz w:val="20"/>
          <w:szCs w:val="20"/>
        </w:rPr>
        <w:t xml:space="preserve"> produces a so-called </w:t>
      </w:r>
      <w:r w:rsidR="00706A3A" w:rsidRPr="00F26E57">
        <w:rPr>
          <w:rFonts w:ascii="Arial Narrow" w:hAnsi="Arial Narrow"/>
          <w:b/>
          <w:sz w:val="20"/>
          <w:szCs w:val="20"/>
        </w:rPr>
        <w:t>J-curve</w:t>
      </w:r>
      <w:r w:rsidRPr="00F26E57">
        <w:rPr>
          <w:rFonts w:ascii="Arial Narrow" w:hAnsi="Arial Narrow"/>
          <w:b/>
          <w:sz w:val="20"/>
          <w:szCs w:val="20"/>
        </w:rPr>
        <w:t xml:space="preserve"> </w:t>
      </w:r>
      <w:r w:rsidR="00706A3A" w:rsidRPr="00F26E57">
        <w:rPr>
          <w:rFonts w:ascii="Arial Narrow" w:hAnsi="Arial Narrow"/>
          <w:sz w:val="20"/>
          <w:szCs w:val="20"/>
        </w:rPr>
        <w:t xml:space="preserve">depicting cash flow </w:t>
      </w:r>
      <w:r w:rsidR="00EB6A0C" w:rsidRPr="00F26E57">
        <w:rPr>
          <w:rFonts w:ascii="Arial Narrow" w:hAnsi="Arial Narrow"/>
          <w:sz w:val="20"/>
          <w:szCs w:val="20"/>
        </w:rPr>
        <w:t>in</w:t>
      </w:r>
      <w:r w:rsidR="00706A3A" w:rsidRPr="00F26E57">
        <w:rPr>
          <w:rFonts w:ascii="Arial Narrow" w:hAnsi="Arial Narrow"/>
          <w:sz w:val="20"/>
          <w:szCs w:val="20"/>
        </w:rPr>
        <w:t xml:space="preserve">to and from the fund.  </w:t>
      </w:r>
      <w:r w:rsidR="00EB6A0C" w:rsidRPr="00F26E57">
        <w:rPr>
          <w:rFonts w:ascii="Arial Narrow" w:hAnsi="Arial Narrow"/>
          <w:sz w:val="20"/>
          <w:szCs w:val="20"/>
        </w:rPr>
        <w:t>The rate at which a fund calls for investor capital, and the rate at which realizations are distributed back to investors, can vary widely.</w:t>
      </w:r>
    </w:p>
    <w:p w:rsidR="000F5DCE" w:rsidRPr="00F26E57" w:rsidRDefault="00EB6A0C" w:rsidP="00152E2C">
      <w:pPr>
        <w:jc w:val="both"/>
        <w:rPr>
          <w:rFonts w:ascii="Arial Narrow" w:hAnsi="Arial Narrow"/>
          <w:sz w:val="20"/>
          <w:szCs w:val="20"/>
        </w:rPr>
      </w:pPr>
      <w:r w:rsidRPr="00F26E57">
        <w:rPr>
          <w:rFonts w:ascii="Arial Narrow" w:hAnsi="Arial Narrow"/>
          <w:sz w:val="20"/>
          <w:szCs w:val="20"/>
        </w:rPr>
        <w:t xml:space="preserve">The </w:t>
      </w:r>
      <w:r w:rsidRPr="00F26E57">
        <w:rPr>
          <w:rFonts w:ascii="Arial Narrow" w:hAnsi="Arial Narrow"/>
          <w:b/>
          <w:sz w:val="20"/>
          <w:szCs w:val="20"/>
        </w:rPr>
        <w:t>maximum drawdown</w:t>
      </w:r>
      <w:r w:rsidRPr="00F26E57">
        <w:rPr>
          <w:rFonts w:ascii="Arial Narrow" w:hAnsi="Arial Narrow"/>
          <w:sz w:val="20"/>
          <w:szCs w:val="20"/>
        </w:rPr>
        <w:t xml:space="preserve"> refers to lowest point in the J-curve, typically during the first few years of the fund, when investors </w:t>
      </w:r>
      <w:r w:rsidR="00E11655" w:rsidRPr="00F26E57">
        <w:rPr>
          <w:rFonts w:ascii="Arial Narrow" w:hAnsi="Arial Narrow"/>
          <w:sz w:val="20"/>
          <w:szCs w:val="20"/>
        </w:rPr>
        <w:t>experience the largest total cash outlay.</w:t>
      </w:r>
    </w:p>
    <w:p w:rsidR="00706A3A" w:rsidRPr="00F26E57" w:rsidRDefault="00706A3A" w:rsidP="00E11655">
      <w:pPr>
        <w:pStyle w:val="Caption"/>
        <w:keepNext/>
        <w:spacing w:after="0"/>
        <w:jc w:val="both"/>
        <w:rPr>
          <w:rFonts w:ascii="Arial Narrow" w:hAnsi="Arial Narrow"/>
          <w:color w:val="000000" w:themeColor="text1"/>
        </w:rPr>
      </w:pPr>
      <w:r w:rsidRPr="00F26E57">
        <w:rPr>
          <w:rFonts w:ascii="Arial Narrow" w:hAnsi="Arial Narrow"/>
          <w:color w:val="000000" w:themeColor="text1"/>
        </w:rPr>
        <w:t xml:space="preserve">Figure </w:t>
      </w:r>
      <w:r w:rsidRPr="00F26E57">
        <w:rPr>
          <w:rFonts w:ascii="Arial Narrow" w:hAnsi="Arial Narrow"/>
          <w:color w:val="000000" w:themeColor="text1"/>
        </w:rPr>
        <w:fldChar w:fldCharType="begin"/>
      </w:r>
      <w:r w:rsidRPr="00F26E57">
        <w:rPr>
          <w:rFonts w:ascii="Arial Narrow" w:hAnsi="Arial Narrow"/>
          <w:color w:val="000000" w:themeColor="text1"/>
        </w:rPr>
        <w:instrText xml:space="preserve"> SEQ Figure \* ARABIC </w:instrText>
      </w:r>
      <w:r w:rsidRPr="00F26E57">
        <w:rPr>
          <w:rFonts w:ascii="Arial Narrow" w:hAnsi="Arial Narrow"/>
          <w:color w:val="000000" w:themeColor="text1"/>
        </w:rPr>
        <w:fldChar w:fldCharType="separate"/>
      </w:r>
      <w:r w:rsidR="00FD36DC" w:rsidRPr="00F26E57">
        <w:rPr>
          <w:rFonts w:ascii="Arial Narrow" w:hAnsi="Arial Narrow"/>
          <w:noProof/>
          <w:color w:val="000000" w:themeColor="text1"/>
        </w:rPr>
        <w:t>2</w:t>
      </w:r>
      <w:r w:rsidRPr="00F26E57">
        <w:rPr>
          <w:rFonts w:ascii="Arial Narrow" w:hAnsi="Arial Narrow"/>
          <w:color w:val="000000" w:themeColor="text1"/>
        </w:rPr>
        <w:fldChar w:fldCharType="end"/>
      </w:r>
      <w:r w:rsidR="00EB6A0C" w:rsidRPr="00F26E57">
        <w:rPr>
          <w:rFonts w:ascii="Arial Narrow" w:hAnsi="Arial Narrow"/>
          <w:color w:val="000000" w:themeColor="text1"/>
        </w:rPr>
        <w:t xml:space="preserve">  </w:t>
      </w:r>
      <w:r w:rsidR="00E11655" w:rsidRPr="00F26E57">
        <w:rPr>
          <w:rFonts w:ascii="Arial Narrow" w:hAnsi="Arial Narrow"/>
          <w:color w:val="000000" w:themeColor="text1"/>
        </w:rPr>
        <w:t xml:space="preserve"> </w:t>
      </w:r>
      <w:r w:rsidR="00EB6A0C" w:rsidRPr="00F26E57">
        <w:rPr>
          <w:rFonts w:ascii="Arial Narrow" w:hAnsi="Arial Narrow"/>
          <w:color w:val="000000" w:themeColor="text1"/>
        </w:rPr>
        <w:t>-</w:t>
      </w:r>
      <w:r w:rsidR="00E11655" w:rsidRPr="00F26E57">
        <w:rPr>
          <w:rFonts w:ascii="Arial Narrow" w:hAnsi="Arial Narrow"/>
          <w:color w:val="000000" w:themeColor="text1"/>
        </w:rPr>
        <w:t xml:space="preserve"> </w:t>
      </w:r>
      <w:r w:rsidR="00EB6A0C" w:rsidRPr="00F26E57">
        <w:rPr>
          <w:rFonts w:ascii="Arial Narrow" w:hAnsi="Arial Narrow"/>
          <w:color w:val="000000" w:themeColor="text1"/>
        </w:rPr>
        <w:t xml:space="preserve">  Hypothetical J-Curve</w:t>
      </w:r>
    </w:p>
    <w:p w:rsidR="00706A3A" w:rsidRPr="00F26E57" w:rsidRDefault="00706A3A" w:rsidP="00152E2C">
      <w:pPr>
        <w:jc w:val="both"/>
        <w:rPr>
          <w:rFonts w:ascii="Arial Narrow" w:hAnsi="Arial Narrow"/>
          <w:sz w:val="20"/>
          <w:szCs w:val="20"/>
        </w:rPr>
      </w:pPr>
      <w:r w:rsidRPr="00F26E57">
        <w:rPr>
          <w:rFonts w:ascii="Arial Narrow" w:hAnsi="Arial Narrow"/>
          <w:noProof/>
        </w:rPr>
        <w:drawing>
          <wp:inline distT="0" distB="0" distL="0" distR="0" wp14:anchorId="2E010416" wp14:editId="78067D95">
            <wp:extent cx="2934269" cy="1848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17982"/>
                    <a:stretch/>
                  </pic:blipFill>
                  <pic:spPr bwMode="auto">
                    <a:xfrm>
                      <a:off x="0" y="0"/>
                      <a:ext cx="2937922" cy="1850723"/>
                    </a:xfrm>
                    <a:prstGeom prst="rect">
                      <a:avLst/>
                    </a:prstGeom>
                    <a:ln>
                      <a:noFill/>
                    </a:ln>
                    <a:extLst>
                      <a:ext uri="{53640926-AAD7-44D8-BBD7-CCE9431645EC}">
                        <a14:shadowObscured xmlns:a14="http://schemas.microsoft.com/office/drawing/2010/main"/>
                      </a:ext>
                    </a:extLst>
                  </pic:spPr>
                </pic:pic>
              </a:graphicData>
            </a:graphic>
          </wp:inline>
        </w:drawing>
      </w:r>
    </w:p>
    <w:p w:rsidR="00E11655" w:rsidRPr="00F26E57" w:rsidRDefault="00AE265A" w:rsidP="000F5DCE">
      <w:pPr>
        <w:jc w:val="both"/>
        <w:rPr>
          <w:rFonts w:ascii="Arial Narrow" w:hAnsi="Arial Narrow"/>
          <w:sz w:val="20"/>
          <w:szCs w:val="20"/>
        </w:rPr>
      </w:pPr>
      <w:r w:rsidRPr="00F26E57">
        <w:rPr>
          <w:rFonts w:ascii="Arial Narrow" w:hAnsi="Arial Narrow"/>
          <w:sz w:val="20"/>
          <w:szCs w:val="20"/>
        </w:rPr>
        <w:t>A</w:t>
      </w:r>
      <w:r w:rsidR="00E11655" w:rsidRPr="00F26E57">
        <w:rPr>
          <w:rFonts w:ascii="Arial Narrow" w:hAnsi="Arial Narrow"/>
          <w:sz w:val="20"/>
          <w:szCs w:val="20"/>
        </w:rPr>
        <w:t xml:space="preserve"> typical maximum drawdown can range from 50% - 80% of an investor’s total capital commitment, after which capital returned </w:t>
      </w:r>
      <w:r w:rsidR="00E11655" w:rsidRPr="00F26E57">
        <w:rPr>
          <w:rFonts w:ascii="Arial Narrow" w:hAnsi="Arial Narrow"/>
          <w:i/>
          <w:sz w:val="20"/>
          <w:szCs w:val="20"/>
        </w:rPr>
        <w:t>to</w:t>
      </w:r>
      <w:r w:rsidR="00E11655" w:rsidRPr="00F26E57">
        <w:rPr>
          <w:rFonts w:ascii="Arial Narrow" w:hAnsi="Arial Narrow"/>
          <w:sz w:val="20"/>
          <w:szCs w:val="20"/>
        </w:rPr>
        <w:t xml:space="preserve"> investors can reduce </w:t>
      </w:r>
      <w:r w:rsidRPr="00F26E57">
        <w:rPr>
          <w:rFonts w:ascii="Arial Narrow" w:hAnsi="Arial Narrow"/>
          <w:sz w:val="20"/>
          <w:szCs w:val="20"/>
        </w:rPr>
        <w:t xml:space="preserve">the balance of total </w:t>
      </w:r>
      <w:r w:rsidR="00E11655" w:rsidRPr="00F26E57">
        <w:rPr>
          <w:rFonts w:ascii="Arial Narrow" w:hAnsi="Arial Narrow"/>
          <w:sz w:val="20"/>
          <w:szCs w:val="20"/>
        </w:rPr>
        <w:t xml:space="preserve">cash outlay, </w:t>
      </w:r>
      <w:r w:rsidRPr="00F26E57">
        <w:rPr>
          <w:rFonts w:ascii="Arial Narrow" w:hAnsi="Arial Narrow"/>
          <w:sz w:val="20"/>
          <w:szCs w:val="20"/>
        </w:rPr>
        <w:t xml:space="preserve">contributing thereafter </w:t>
      </w:r>
      <w:r w:rsidR="00E11655" w:rsidRPr="00F26E57">
        <w:rPr>
          <w:rFonts w:ascii="Arial Narrow" w:hAnsi="Arial Narrow"/>
          <w:sz w:val="20"/>
          <w:szCs w:val="20"/>
        </w:rPr>
        <w:t>to positive cash and investment returns.</w:t>
      </w:r>
    </w:p>
    <w:p w:rsidR="000A6C33" w:rsidRPr="00F26E57" w:rsidRDefault="000F5DCE" w:rsidP="000F5DCE">
      <w:pPr>
        <w:jc w:val="both"/>
        <w:rPr>
          <w:rFonts w:ascii="Arial Narrow" w:hAnsi="Arial Narrow"/>
          <w:sz w:val="20"/>
          <w:szCs w:val="20"/>
        </w:rPr>
      </w:pPr>
      <w:r w:rsidRPr="00F26E57">
        <w:rPr>
          <w:rFonts w:ascii="Arial Narrow" w:hAnsi="Arial Narrow"/>
          <w:b/>
          <w:sz w:val="20"/>
          <w:szCs w:val="20"/>
        </w:rPr>
        <w:t>Allocation &amp; Suitability</w:t>
      </w:r>
      <w:r w:rsidR="00544C12" w:rsidRPr="00F26E57">
        <w:rPr>
          <w:rFonts w:ascii="Arial Narrow" w:hAnsi="Arial Narrow"/>
          <w:b/>
          <w:sz w:val="20"/>
          <w:szCs w:val="20"/>
        </w:rPr>
        <w:t xml:space="preserve">   </w:t>
      </w:r>
      <w:r w:rsidR="00544C12" w:rsidRPr="00F26E57">
        <w:rPr>
          <w:rFonts w:ascii="Arial Narrow" w:hAnsi="Arial Narrow"/>
          <w:sz w:val="20"/>
          <w:szCs w:val="20"/>
        </w:rPr>
        <w:t>Our</w:t>
      </w:r>
      <w:r w:rsidR="00AE265A" w:rsidRPr="00F26E57">
        <w:rPr>
          <w:rFonts w:ascii="Arial Narrow" w:hAnsi="Arial Narrow"/>
          <w:sz w:val="20"/>
          <w:szCs w:val="20"/>
        </w:rPr>
        <w:t xml:space="preserve"> Investment Strategy Group (</w:t>
      </w:r>
      <w:proofErr w:type="spellStart"/>
      <w:r w:rsidRPr="00F26E57">
        <w:rPr>
          <w:rFonts w:ascii="Arial Narrow" w:hAnsi="Arial Narrow"/>
          <w:sz w:val="20"/>
          <w:szCs w:val="20"/>
        </w:rPr>
        <w:t>ISG</w:t>
      </w:r>
      <w:proofErr w:type="spellEnd"/>
      <w:r w:rsidR="00AE265A" w:rsidRPr="00F26E57">
        <w:rPr>
          <w:rFonts w:ascii="Arial Narrow" w:hAnsi="Arial Narrow"/>
          <w:sz w:val="20"/>
          <w:szCs w:val="20"/>
        </w:rPr>
        <w:t xml:space="preserve">) recently updated our 2016 Portfolio </w:t>
      </w:r>
      <w:r w:rsidR="00AE265A" w:rsidRPr="00841887">
        <w:rPr>
          <w:rFonts w:ascii="Arial Narrow" w:hAnsi="Arial Narrow"/>
          <w:sz w:val="20"/>
          <w:szCs w:val="20"/>
        </w:rPr>
        <w:t>Guidelines</w:t>
      </w:r>
      <w:r w:rsidR="00AE265A" w:rsidRPr="00F26E57">
        <w:rPr>
          <w:rFonts w:ascii="Arial Narrow" w:hAnsi="Arial Narrow"/>
          <w:sz w:val="20"/>
          <w:szCs w:val="20"/>
        </w:rPr>
        <w:t xml:space="preserve"> to include </w:t>
      </w:r>
      <w:r w:rsidR="00FB5455" w:rsidRPr="00F26E57">
        <w:rPr>
          <w:rFonts w:ascii="Arial Narrow" w:hAnsi="Arial Narrow"/>
          <w:sz w:val="20"/>
          <w:szCs w:val="20"/>
        </w:rPr>
        <w:t xml:space="preserve">sample </w:t>
      </w:r>
      <w:r w:rsidR="00AE265A" w:rsidRPr="00F26E57">
        <w:rPr>
          <w:rFonts w:ascii="Arial Narrow" w:hAnsi="Arial Narrow"/>
          <w:sz w:val="20"/>
          <w:szCs w:val="20"/>
        </w:rPr>
        <w:t xml:space="preserve">allocation targets </w:t>
      </w:r>
      <w:r w:rsidR="000A6C33" w:rsidRPr="00F26E57">
        <w:rPr>
          <w:rFonts w:ascii="Arial Narrow" w:hAnsi="Arial Narrow"/>
          <w:sz w:val="20"/>
          <w:szCs w:val="20"/>
        </w:rPr>
        <w:t xml:space="preserve">of 5% to 15% for </w:t>
      </w:r>
      <w:r w:rsidR="00AE265A" w:rsidRPr="00F26E57">
        <w:rPr>
          <w:rFonts w:ascii="Arial Narrow" w:hAnsi="Arial Narrow"/>
          <w:sz w:val="20"/>
          <w:szCs w:val="20"/>
        </w:rPr>
        <w:t xml:space="preserve">Alternatives as an </w:t>
      </w:r>
      <w:r w:rsidR="00F11AD0" w:rsidRPr="00F26E57">
        <w:rPr>
          <w:rFonts w:ascii="Arial Narrow" w:hAnsi="Arial Narrow"/>
          <w:sz w:val="20"/>
          <w:szCs w:val="20"/>
        </w:rPr>
        <w:t xml:space="preserve">overall </w:t>
      </w:r>
      <w:r w:rsidR="00AE265A" w:rsidRPr="00F26E57">
        <w:rPr>
          <w:rFonts w:ascii="Arial Narrow" w:hAnsi="Arial Narrow"/>
          <w:sz w:val="20"/>
          <w:szCs w:val="20"/>
        </w:rPr>
        <w:t>asset class</w:t>
      </w:r>
      <w:r w:rsidR="000A6C33" w:rsidRPr="00F26E57">
        <w:rPr>
          <w:rFonts w:ascii="Arial Narrow" w:hAnsi="Arial Narrow"/>
          <w:sz w:val="20"/>
          <w:szCs w:val="20"/>
        </w:rPr>
        <w:t xml:space="preserve">.  </w:t>
      </w:r>
      <w:r w:rsidR="00F11AD0" w:rsidRPr="00F26E57">
        <w:rPr>
          <w:rFonts w:ascii="Arial Narrow" w:hAnsi="Arial Narrow"/>
          <w:sz w:val="20"/>
          <w:szCs w:val="20"/>
        </w:rPr>
        <w:t xml:space="preserve">Individual fund investments typically help diversify an overall allocation to Alternatives.  </w:t>
      </w:r>
      <w:r w:rsidR="000A6C33" w:rsidRPr="00F26E57">
        <w:rPr>
          <w:rFonts w:ascii="Arial Narrow" w:hAnsi="Arial Narrow"/>
          <w:sz w:val="20"/>
          <w:szCs w:val="20"/>
        </w:rPr>
        <w:t>A wide range of allocation targets between 0% and 40% can apply based upon individual client circumstances.</w:t>
      </w:r>
    </w:p>
    <w:p w:rsidR="00AE265A" w:rsidRPr="00F26E57" w:rsidRDefault="00FB5455" w:rsidP="000F5DCE">
      <w:pPr>
        <w:jc w:val="both"/>
        <w:rPr>
          <w:rFonts w:ascii="Arial Narrow" w:hAnsi="Arial Narrow"/>
          <w:sz w:val="20"/>
          <w:szCs w:val="20"/>
        </w:rPr>
      </w:pPr>
      <w:r w:rsidRPr="00F26E57">
        <w:rPr>
          <w:rFonts w:ascii="Arial Narrow" w:hAnsi="Arial Narrow"/>
          <w:sz w:val="20"/>
          <w:szCs w:val="20"/>
        </w:rPr>
        <w:t>An allocation to Alternatives is by no means appropriate for all investors – not even all Qualified Investors</w:t>
      </w:r>
      <w:r w:rsidR="000A6C33" w:rsidRPr="00F26E57">
        <w:rPr>
          <w:rFonts w:ascii="Arial Narrow" w:hAnsi="Arial Narrow"/>
          <w:sz w:val="20"/>
          <w:szCs w:val="20"/>
        </w:rPr>
        <w:t>.  Y</w:t>
      </w:r>
      <w:r w:rsidRPr="00F26E57">
        <w:rPr>
          <w:rFonts w:ascii="Arial Narrow" w:hAnsi="Arial Narrow"/>
          <w:sz w:val="20"/>
          <w:szCs w:val="20"/>
        </w:rPr>
        <w:t xml:space="preserve">et guidelines help </w:t>
      </w:r>
      <w:r w:rsidR="00544C12" w:rsidRPr="00F26E57">
        <w:rPr>
          <w:rFonts w:ascii="Arial Narrow" w:hAnsi="Arial Narrow"/>
          <w:sz w:val="20"/>
          <w:szCs w:val="20"/>
        </w:rPr>
        <w:t>to</w:t>
      </w:r>
      <w:r w:rsidRPr="00F26E57">
        <w:rPr>
          <w:rFonts w:ascii="Arial Narrow" w:hAnsi="Arial Narrow"/>
          <w:sz w:val="20"/>
          <w:szCs w:val="20"/>
        </w:rPr>
        <w:t xml:space="preserve"> better evaluate the role that Alternatives can play as part of a diversified </w:t>
      </w:r>
      <w:r w:rsidR="000A6C33" w:rsidRPr="00F26E57">
        <w:rPr>
          <w:rFonts w:ascii="Arial Narrow" w:hAnsi="Arial Narrow"/>
          <w:sz w:val="20"/>
          <w:szCs w:val="20"/>
        </w:rPr>
        <w:t xml:space="preserve">investment </w:t>
      </w:r>
      <w:r w:rsidRPr="00F26E57">
        <w:rPr>
          <w:rFonts w:ascii="Arial Narrow" w:hAnsi="Arial Narrow"/>
          <w:sz w:val="20"/>
          <w:szCs w:val="20"/>
        </w:rPr>
        <w:t>portfolio.</w:t>
      </w:r>
    </w:p>
    <w:p w:rsidR="00FB5455" w:rsidRPr="00F26E57" w:rsidRDefault="00F11AD0" w:rsidP="000F5DCE">
      <w:pPr>
        <w:jc w:val="both"/>
        <w:rPr>
          <w:rFonts w:ascii="Arial Narrow" w:hAnsi="Arial Narrow"/>
          <w:sz w:val="20"/>
          <w:szCs w:val="20"/>
        </w:rPr>
      </w:pPr>
      <w:r w:rsidRPr="00F26E57">
        <w:rPr>
          <w:rFonts w:ascii="Arial Narrow" w:hAnsi="Arial Narrow"/>
          <w:sz w:val="20"/>
          <w:szCs w:val="20"/>
        </w:rPr>
        <w:t>Each c</w:t>
      </w:r>
      <w:r w:rsidR="00FB5455" w:rsidRPr="00F26E57">
        <w:rPr>
          <w:rFonts w:ascii="Arial Narrow" w:hAnsi="Arial Narrow"/>
          <w:sz w:val="20"/>
          <w:szCs w:val="20"/>
        </w:rPr>
        <w:t xml:space="preserve">lient considering an allocation to Alternatives </w:t>
      </w:r>
      <w:r w:rsidRPr="00F26E57">
        <w:rPr>
          <w:rFonts w:ascii="Arial Narrow" w:hAnsi="Arial Narrow"/>
          <w:sz w:val="20"/>
          <w:szCs w:val="20"/>
        </w:rPr>
        <w:t xml:space="preserve">through a private fund </w:t>
      </w:r>
      <w:r w:rsidR="00FB5455" w:rsidRPr="00F26E57">
        <w:rPr>
          <w:rFonts w:ascii="Arial Narrow" w:hAnsi="Arial Narrow"/>
          <w:sz w:val="20"/>
          <w:szCs w:val="20"/>
        </w:rPr>
        <w:t xml:space="preserve">must </w:t>
      </w:r>
      <w:r w:rsidR="000A6C33" w:rsidRPr="00F26E57">
        <w:rPr>
          <w:rFonts w:ascii="Arial Narrow" w:hAnsi="Arial Narrow"/>
          <w:sz w:val="20"/>
          <w:szCs w:val="20"/>
        </w:rPr>
        <w:t>complete a Suitability process with their inves</w:t>
      </w:r>
      <w:r w:rsidRPr="00F26E57">
        <w:rPr>
          <w:rFonts w:ascii="Arial Narrow" w:hAnsi="Arial Narrow"/>
          <w:sz w:val="20"/>
          <w:szCs w:val="20"/>
        </w:rPr>
        <w:t xml:space="preserve">tment advisor.  Suitability helps assure that each private fund </w:t>
      </w:r>
      <w:r w:rsidR="00994436" w:rsidRPr="00F26E57">
        <w:rPr>
          <w:rFonts w:ascii="Arial Narrow" w:hAnsi="Arial Narrow"/>
          <w:sz w:val="20"/>
          <w:szCs w:val="20"/>
        </w:rPr>
        <w:t xml:space="preserve">may be </w:t>
      </w:r>
      <w:r w:rsidRPr="00F26E57">
        <w:rPr>
          <w:rFonts w:ascii="Arial Narrow" w:hAnsi="Arial Narrow"/>
          <w:sz w:val="20"/>
          <w:szCs w:val="20"/>
        </w:rPr>
        <w:t xml:space="preserve">appropriate for </w:t>
      </w:r>
      <w:r w:rsidR="00994436" w:rsidRPr="00F26E57">
        <w:rPr>
          <w:rFonts w:ascii="Arial Narrow" w:hAnsi="Arial Narrow"/>
          <w:sz w:val="20"/>
          <w:szCs w:val="20"/>
        </w:rPr>
        <w:t xml:space="preserve">each investor’s </w:t>
      </w:r>
      <w:r w:rsidRPr="00F26E57">
        <w:rPr>
          <w:rFonts w:ascii="Arial Narrow" w:hAnsi="Arial Narrow"/>
          <w:sz w:val="20"/>
          <w:szCs w:val="20"/>
        </w:rPr>
        <w:t xml:space="preserve">circumstances, and typically restricts </w:t>
      </w:r>
      <w:r w:rsidR="00994436" w:rsidRPr="00F26E57">
        <w:rPr>
          <w:rFonts w:ascii="Arial Narrow" w:hAnsi="Arial Narrow"/>
          <w:sz w:val="20"/>
          <w:szCs w:val="20"/>
        </w:rPr>
        <w:t xml:space="preserve">individual </w:t>
      </w:r>
      <w:r w:rsidRPr="00F26E57">
        <w:rPr>
          <w:rFonts w:ascii="Arial Narrow" w:hAnsi="Arial Narrow"/>
          <w:sz w:val="20"/>
          <w:szCs w:val="20"/>
        </w:rPr>
        <w:t>investment to not more than 5% - 10% of one’s liquid net worth.</w:t>
      </w:r>
    </w:p>
    <w:p w:rsidR="00CA1666" w:rsidRPr="00F26E57" w:rsidRDefault="001120C0" w:rsidP="00152E2C">
      <w:pPr>
        <w:jc w:val="both"/>
        <w:rPr>
          <w:rFonts w:ascii="Arial Narrow" w:hAnsi="Arial Narrow"/>
          <w:sz w:val="20"/>
          <w:szCs w:val="20"/>
        </w:rPr>
      </w:pPr>
      <w:r w:rsidRPr="00F26E57">
        <w:rPr>
          <w:rFonts w:ascii="Arial Narrow" w:hAnsi="Arial Narrow"/>
          <w:b/>
          <w:sz w:val="20"/>
          <w:szCs w:val="20"/>
        </w:rPr>
        <w:t xml:space="preserve">Tax </w:t>
      </w:r>
      <w:proofErr w:type="gramStart"/>
      <w:r w:rsidR="00A729E2" w:rsidRPr="00F26E57">
        <w:rPr>
          <w:rFonts w:ascii="Arial Narrow" w:hAnsi="Arial Narrow"/>
          <w:b/>
          <w:sz w:val="20"/>
          <w:szCs w:val="20"/>
        </w:rPr>
        <w:t>Considerations</w:t>
      </w:r>
      <w:r w:rsidR="000D77B7" w:rsidRPr="00F26E57">
        <w:rPr>
          <w:rFonts w:ascii="Arial Narrow" w:hAnsi="Arial Narrow"/>
          <w:sz w:val="20"/>
          <w:szCs w:val="20"/>
        </w:rPr>
        <w:t xml:space="preserve">  </w:t>
      </w:r>
      <w:r w:rsidR="00CA1666" w:rsidRPr="00F26E57">
        <w:rPr>
          <w:rFonts w:ascii="Arial Narrow" w:hAnsi="Arial Narrow"/>
          <w:sz w:val="20"/>
          <w:szCs w:val="20"/>
        </w:rPr>
        <w:t>Private</w:t>
      </w:r>
      <w:proofErr w:type="gramEnd"/>
      <w:r w:rsidR="00CA1666" w:rsidRPr="00F26E57">
        <w:rPr>
          <w:rFonts w:ascii="Arial Narrow" w:hAnsi="Arial Narrow"/>
          <w:sz w:val="20"/>
          <w:szCs w:val="20"/>
        </w:rPr>
        <w:t xml:space="preserve"> funds each have their own tax character, depending </w:t>
      </w:r>
      <w:r w:rsidR="00D64B79" w:rsidRPr="00F26E57">
        <w:rPr>
          <w:rFonts w:ascii="Arial Narrow" w:hAnsi="Arial Narrow"/>
          <w:sz w:val="20"/>
          <w:szCs w:val="20"/>
        </w:rPr>
        <w:t xml:space="preserve">in part </w:t>
      </w:r>
      <w:r w:rsidR="00CA1666" w:rsidRPr="00F26E57">
        <w:rPr>
          <w:rFonts w:ascii="Arial Narrow" w:hAnsi="Arial Narrow"/>
          <w:sz w:val="20"/>
          <w:szCs w:val="20"/>
        </w:rPr>
        <w:t xml:space="preserve">upon the type </w:t>
      </w:r>
      <w:r w:rsidR="00013E68" w:rsidRPr="00F26E57">
        <w:rPr>
          <w:rFonts w:ascii="Arial Narrow" w:hAnsi="Arial Narrow"/>
          <w:sz w:val="20"/>
          <w:szCs w:val="20"/>
        </w:rPr>
        <w:t xml:space="preserve">and mix </w:t>
      </w:r>
      <w:r w:rsidR="00CA1666" w:rsidRPr="00F26E57">
        <w:rPr>
          <w:rFonts w:ascii="Arial Narrow" w:hAnsi="Arial Narrow"/>
          <w:sz w:val="20"/>
          <w:szCs w:val="20"/>
        </w:rPr>
        <w:t xml:space="preserve">of investments made within each fund.  </w:t>
      </w:r>
      <w:r w:rsidR="00013E68" w:rsidRPr="00F26E57">
        <w:rPr>
          <w:rFonts w:ascii="Arial Narrow" w:hAnsi="Arial Narrow"/>
          <w:sz w:val="20"/>
          <w:szCs w:val="20"/>
        </w:rPr>
        <w:t>As a general rule, i</w:t>
      </w:r>
      <w:r w:rsidR="00CA1666" w:rsidRPr="00F26E57">
        <w:rPr>
          <w:rFonts w:ascii="Arial Narrow" w:hAnsi="Arial Narrow"/>
          <w:sz w:val="20"/>
          <w:szCs w:val="20"/>
        </w:rPr>
        <w:t xml:space="preserve">nterest income, dividends, </w:t>
      </w:r>
      <w:r w:rsidR="00013E68" w:rsidRPr="00F26E57">
        <w:rPr>
          <w:rFonts w:ascii="Arial Narrow" w:hAnsi="Arial Narrow"/>
          <w:sz w:val="20"/>
          <w:szCs w:val="20"/>
        </w:rPr>
        <w:t xml:space="preserve">royalty streams, </w:t>
      </w:r>
      <w:r w:rsidR="00CA1666" w:rsidRPr="00F26E57">
        <w:rPr>
          <w:rFonts w:ascii="Arial Narrow" w:hAnsi="Arial Narrow"/>
          <w:sz w:val="20"/>
          <w:szCs w:val="20"/>
        </w:rPr>
        <w:t xml:space="preserve">short- or long-term gains, etc., that </w:t>
      </w:r>
      <w:r w:rsidR="00013E68" w:rsidRPr="00F26E57">
        <w:rPr>
          <w:rFonts w:ascii="Arial Narrow" w:hAnsi="Arial Narrow"/>
          <w:sz w:val="20"/>
          <w:szCs w:val="20"/>
        </w:rPr>
        <w:t xml:space="preserve">individual </w:t>
      </w:r>
      <w:r w:rsidR="00CA1666" w:rsidRPr="00F26E57">
        <w:rPr>
          <w:rFonts w:ascii="Arial Narrow" w:hAnsi="Arial Narrow"/>
          <w:sz w:val="20"/>
          <w:szCs w:val="20"/>
        </w:rPr>
        <w:t xml:space="preserve">investments </w:t>
      </w:r>
      <w:r w:rsidR="00013E68" w:rsidRPr="00F26E57">
        <w:rPr>
          <w:rFonts w:ascii="Arial Narrow" w:hAnsi="Arial Narrow"/>
          <w:sz w:val="20"/>
          <w:szCs w:val="20"/>
        </w:rPr>
        <w:t xml:space="preserve">can </w:t>
      </w:r>
      <w:r w:rsidR="00CA1666" w:rsidRPr="00F26E57">
        <w:rPr>
          <w:rFonts w:ascii="Arial Narrow" w:hAnsi="Arial Narrow"/>
          <w:sz w:val="20"/>
          <w:szCs w:val="20"/>
        </w:rPr>
        <w:t xml:space="preserve">generate are passed through to investors. (As a reminder, funds are </w:t>
      </w:r>
      <w:r w:rsidR="00013E68" w:rsidRPr="00F26E57">
        <w:rPr>
          <w:rFonts w:ascii="Arial Narrow" w:hAnsi="Arial Narrow"/>
          <w:sz w:val="20"/>
          <w:szCs w:val="20"/>
        </w:rPr>
        <w:t xml:space="preserve">typically </w:t>
      </w:r>
      <w:r w:rsidR="00CA1666" w:rsidRPr="00F26E57">
        <w:rPr>
          <w:rFonts w:ascii="Arial Narrow" w:hAnsi="Arial Narrow"/>
          <w:sz w:val="20"/>
          <w:szCs w:val="20"/>
        </w:rPr>
        <w:t>organized as limited partnerships, enabling the pass-through of gains, losses and other forms of taxable activity to investors themselves.)</w:t>
      </w:r>
    </w:p>
    <w:p w:rsidR="001120C0" w:rsidRPr="00F26E57" w:rsidRDefault="00CA1666" w:rsidP="00152E2C">
      <w:pPr>
        <w:jc w:val="both"/>
        <w:rPr>
          <w:rFonts w:ascii="Arial Narrow" w:hAnsi="Arial Narrow"/>
          <w:sz w:val="20"/>
          <w:szCs w:val="20"/>
        </w:rPr>
      </w:pPr>
      <w:r w:rsidRPr="00F26E57">
        <w:rPr>
          <w:rFonts w:ascii="Arial Narrow" w:hAnsi="Arial Narrow"/>
          <w:sz w:val="20"/>
          <w:szCs w:val="20"/>
        </w:rPr>
        <w:t xml:space="preserve">For example, </w:t>
      </w:r>
      <w:r w:rsidR="003A42A7" w:rsidRPr="00F26E57">
        <w:rPr>
          <w:rFonts w:ascii="Arial Narrow" w:hAnsi="Arial Narrow"/>
          <w:sz w:val="20"/>
          <w:szCs w:val="20"/>
        </w:rPr>
        <w:t xml:space="preserve">a </w:t>
      </w:r>
      <w:r w:rsidRPr="00F26E57">
        <w:rPr>
          <w:rFonts w:ascii="Arial Narrow" w:hAnsi="Arial Narrow"/>
          <w:sz w:val="20"/>
          <w:szCs w:val="20"/>
        </w:rPr>
        <w:t xml:space="preserve">private equity </w:t>
      </w:r>
      <w:r w:rsidR="003A42A7" w:rsidRPr="00F26E57">
        <w:rPr>
          <w:rFonts w:ascii="Arial Narrow" w:hAnsi="Arial Narrow"/>
          <w:sz w:val="20"/>
          <w:szCs w:val="20"/>
        </w:rPr>
        <w:t xml:space="preserve">fund might employ a strategy that </w:t>
      </w:r>
      <w:r w:rsidRPr="00F26E57">
        <w:rPr>
          <w:rFonts w:ascii="Arial Narrow" w:hAnsi="Arial Narrow"/>
          <w:sz w:val="20"/>
          <w:szCs w:val="20"/>
        </w:rPr>
        <w:t>target</w:t>
      </w:r>
      <w:r w:rsidR="003A42A7" w:rsidRPr="00F26E57">
        <w:rPr>
          <w:rFonts w:ascii="Arial Narrow" w:hAnsi="Arial Narrow"/>
          <w:sz w:val="20"/>
          <w:szCs w:val="20"/>
        </w:rPr>
        <w:t>s</w:t>
      </w:r>
      <w:r w:rsidRPr="00F26E57">
        <w:rPr>
          <w:rFonts w:ascii="Arial Narrow" w:hAnsi="Arial Narrow"/>
          <w:sz w:val="20"/>
          <w:szCs w:val="20"/>
        </w:rPr>
        <w:t xml:space="preserve"> long-term capital gains</w:t>
      </w:r>
      <w:r w:rsidR="003A42A7" w:rsidRPr="00F26E57">
        <w:rPr>
          <w:rFonts w:ascii="Arial Narrow" w:hAnsi="Arial Narrow"/>
          <w:sz w:val="20"/>
          <w:szCs w:val="20"/>
        </w:rPr>
        <w:t>.  If achieved</w:t>
      </w:r>
      <w:r w:rsidR="00D64B79" w:rsidRPr="00F26E57">
        <w:rPr>
          <w:rFonts w:ascii="Arial Narrow" w:hAnsi="Arial Narrow"/>
          <w:sz w:val="20"/>
          <w:szCs w:val="20"/>
        </w:rPr>
        <w:t xml:space="preserve">, </w:t>
      </w:r>
      <w:r w:rsidR="00AD3A58" w:rsidRPr="00F26E57">
        <w:rPr>
          <w:rFonts w:ascii="Arial Narrow" w:hAnsi="Arial Narrow"/>
          <w:sz w:val="20"/>
          <w:szCs w:val="20"/>
        </w:rPr>
        <w:t>in turn</w:t>
      </w:r>
      <w:r w:rsidR="00D64B79" w:rsidRPr="00F26E57">
        <w:rPr>
          <w:rFonts w:ascii="Arial Narrow" w:hAnsi="Arial Narrow"/>
          <w:sz w:val="20"/>
          <w:szCs w:val="20"/>
        </w:rPr>
        <w:t xml:space="preserve"> this </w:t>
      </w:r>
      <w:r w:rsidR="003A42A7" w:rsidRPr="00F26E57">
        <w:rPr>
          <w:rFonts w:ascii="Arial Narrow" w:hAnsi="Arial Narrow"/>
          <w:sz w:val="20"/>
          <w:szCs w:val="20"/>
        </w:rPr>
        <w:t xml:space="preserve">would </w:t>
      </w:r>
      <w:r w:rsidR="00AD3A58" w:rsidRPr="00F26E57">
        <w:rPr>
          <w:rFonts w:ascii="Arial Narrow" w:hAnsi="Arial Narrow"/>
          <w:sz w:val="20"/>
          <w:szCs w:val="20"/>
        </w:rPr>
        <w:t xml:space="preserve">cause </w:t>
      </w:r>
      <w:r w:rsidRPr="00F26E57">
        <w:rPr>
          <w:rFonts w:ascii="Arial Narrow" w:hAnsi="Arial Narrow"/>
          <w:sz w:val="20"/>
          <w:szCs w:val="20"/>
        </w:rPr>
        <w:t xml:space="preserve">“realizations” that </w:t>
      </w:r>
      <w:r w:rsidR="00AD3A58" w:rsidRPr="00F26E57">
        <w:rPr>
          <w:rFonts w:ascii="Arial Narrow" w:hAnsi="Arial Narrow"/>
          <w:sz w:val="20"/>
          <w:szCs w:val="20"/>
        </w:rPr>
        <w:t xml:space="preserve">are taxable </w:t>
      </w:r>
      <w:r w:rsidR="00331193" w:rsidRPr="00F26E57">
        <w:rPr>
          <w:rFonts w:ascii="Arial Narrow" w:hAnsi="Arial Narrow"/>
          <w:sz w:val="20"/>
          <w:szCs w:val="20"/>
        </w:rPr>
        <w:t xml:space="preserve">as </w:t>
      </w:r>
      <w:r w:rsidRPr="00F26E57">
        <w:rPr>
          <w:rFonts w:ascii="Arial Narrow" w:hAnsi="Arial Narrow"/>
          <w:sz w:val="20"/>
          <w:szCs w:val="20"/>
        </w:rPr>
        <w:t xml:space="preserve">long-term gains </w:t>
      </w:r>
      <w:r w:rsidR="00AD3A58" w:rsidRPr="00F26E57">
        <w:rPr>
          <w:rFonts w:ascii="Arial Narrow" w:hAnsi="Arial Narrow"/>
          <w:sz w:val="20"/>
          <w:szCs w:val="20"/>
        </w:rPr>
        <w:t xml:space="preserve">to </w:t>
      </w:r>
      <w:r w:rsidR="003A42A7" w:rsidRPr="00F26E57">
        <w:rPr>
          <w:rFonts w:ascii="Arial Narrow" w:hAnsi="Arial Narrow"/>
          <w:sz w:val="20"/>
          <w:szCs w:val="20"/>
        </w:rPr>
        <w:t xml:space="preserve">fund </w:t>
      </w:r>
      <w:r w:rsidR="00AD3A58" w:rsidRPr="00F26E57">
        <w:rPr>
          <w:rFonts w:ascii="Arial Narrow" w:hAnsi="Arial Narrow"/>
          <w:sz w:val="20"/>
          <w:szCs w:val="20"/>
        </w:rPr>
        <w:t>investors</w:t>
      </w:r>
      <w:r w:rsidR="00D64B79" w:rsidRPr="00F26E57">
        <w:rPr>
          <w:rFonts w:ascii="Arial Narrow" w:hAnsi="Arial Narrow"/>
          <w:sz w:val="20"/>
          <w:szCs w:val="20"/>
        </w:rPr>
        <w:t xml:space="preserve"> themselves</w:t>
      </w:r>
      <w:r w:rsidR="00AD3A58" w:rsidRPr="00F26E57">
        <w:rPr>
          <w:rFonts w:ascii="Arial Narrow" w:hAnsi="Arial Narrow"/>
          <w:sz w:val="20"/>
          <w:szCs w:val="20"/>
        </w:rPr>
        <w:t xml:space="preserve">.  By contrast, </w:t>
      </w:r>
      <w:r w:rsidR="003A42A7" w:rsidRPr="00F26E57">
        <w:rPr>
          <w:rFonts w:ascii="Arial Narrow" w:hAnsi="Arial Narrow"/>
          <w:sz w:val="20"/>
          <w:szCs w:val="20"/>
        </w:rPr>
        <w:t xml:space="preserve">a </w:t>
      </w:r>
      <w:r w:rsidR="00AD3A58" w:rsidRPr="00F26E57">
        <w:rPr>
          <w:rFonts w:ascii="Arial Narrow" w:hAnsi="Arial Narrow"/>
          <w:sz w:val="20"/>
          <w:szCs w:val="20"/>
        </w:rPr>
        <w:t xml:space="preserve">private debt fund might </w:t>
      </w:r>
      <w:r w:rsidR="003A42A7" w:rsidRPr="00F26E57">
        <w:rPr>
          <w:rFonts w:ascii="Arial Narrow" w:hAnsi="Arial Narrow"/>
          <w:sz w:val="20"/>
          <w:szCs w:val="20"/>
        </w:rPr>
        <w:t xml:space="preserve">pursue a strategy that </w:t>
      </w:r>
      <w:r w:rsidR="00AD3A58" w:rsidRPr="00F26E57">
        <w:rPr>
          <w:rFonts w:ascii="Arial Narrow" w:hAnsi="Arial Narrow"/>
          <w:sz w:val="20"/>
          <w:szCs w:val="20"/>
        </w:rPr>
        <w:t>target</w:t>
      </w:r>
      <w:r w:rsidR="003A42A7" w:rsidRPr="00F26E57">
        <w:rPr>
          <w:rFonts w:ascii="Arial Narrow" w:hAnsi="Arial Narrow"/>
          <w:sz w:val="20"/>
          <w:szCs w:val="20"/>
        </w:rPr>
        <w:t>s</w:t>
      </w:r>
      <w:r w:rsidR="00AD3A58" w:rsidRPr="00F26E57">
        <w:rPr>
          <w:rFonts w:ascii="Arial Narrow" w:hAnsi="Arial Narrow"/>
          <w:sz w:val="20"/>
          <w:szCs w:val="20"/>
        </w:rPr>
        <w:t xml:space="preserve"> a blend of interest income and capital gains</w:t>
      </w:r>
      <w:r w:rsidR="00331193" w:rsidRPr="00F26E57">
        <w:rPr>
          <w:rFonts w:ascii="Arial Narrow" w:hAnsi="Arial Narrow"/>
          <w:sz w:val="20"/>
          <w:szCs w:val="20"/>
        </w:rPr>
        <w:t>.  In this case, resulting d</w:t>
      </w:r>
      <w:r w:rsidR="00AD3A58" w:rsidRPr="00F26E57">
        <w:rPr>
          <w:rFonts w:ascii="Arial Narrow" w:hAnsi="Arial Narrow"/>
          <w:sz w:val="20"/>
          <w:szCs w:val="20"/>
        </w:rPr>
        <w:t xml:space="preserve">istributions to </w:t>
      </w:r>
      <w:r w:rsidR="00331193" w:rsidRPr="00F26E57">
        <w:rPr>
          <w:rFonts w:ascii="Arial Narrow" w:hAnsi="Arial Narrow"/>
          <w:i/>
          <w:sz w:val="20"/>
          <w:szCs w:val="20"/>
        </w:rPr>
        <w:t>taxable</w:t>
      </w:r>
      <w:r w:rsidR="00331193" w:rsidRPr="00F26E57">
        <w:rPr>
          <w:rFonts w:ascii="Arial Narrow" w:hAnsi="Arial Narrow"/>
          <w:sz w:val="20"/>
          <w:szCs w:val="20"/>
        </w:rPr>
        <w:t xml:space="preserve"> </w:t>
      </w:r>
      <w:r w:rsidR="00AD3A58" w:rsidRPr="00F26E57">
        <w:rPr>
          <w:rFonts w:ascii="Arial Narrow" w:hAnsi="Arial Narrow"/>
          <w:sz w:val="20"/>
          <w:szCs w:val="20"/>
        </w:rPr>
        <w:t>invest</w:t>
      </w:r>
      <w:r w:rsidR="00331193" w:rsidRPr="00F26E57">
        <w:rPr>
          <w:rFonts w:ascii="Arial Narrow" w:hAnsi="Arial Narrow"/>
          <w:sz w:val="20"/>
          <w:szCs w:val="20"/>
        </w:rPr>
        <w:t>ors would reflect the combination of income and gains experience within the fund itself.</w:t>
      </w:r>
    </w:p>
    <w:p w:rsidR="007E525D" w:rsidRPr="00F26E57" w:rsidRDefault="00331193" w:rsidP="00152E2C">
      <w:pPr>
        <w:jc w:val="both"/>
        <w:rPr>
          <w:rFonts w:ascii="Arial Narrow" w:hAnsi="Arial Narrow"/>
          <w:sz w:val="20"/>
          <w:szCs w:val="20"/>
        </w:rPr>
      </w:pPr>
      <w:r w:rsidRPr="00F26E57">
        <w:rPr>
          <w:rFonts w:ascii="Arial Narrow" w:hAnsi="Arial Narrow"/>
          <w:sz w:val="20"/>
          <w:szCs w:val="20"/>
        </w:rPr>
        <w:t>IRA</w:t>
      </w:r>
      <w:r w:rsidR="007E525D" w:rsidRPr="00F26E57">
        <w:rPr>
          <w:rFonts w:ascii="Arial Narrow" w:hAnsi="Arial Narrow"/>
          <w:sz w:val="20"/>
          <w:szCs w:val="20"/>
        </w:rPr>
        <w:t>, Roth IRA,</w:t>
      </w:r>
      <w:r w:rsidRPr="00F26E57">
        <w:rPr>
          <w:rFonts w:ascii="Arial Narrow" w:hAnsi="Arial Narrow"/>
          <w:sz w:val="20"/>
          <w:szCs w:val="20"/>
        </w:rPr>
        <w:t xml:space="preserve"> and other </w:t>
      </w:r>
      <w:r w:rsidRPr="00F26E57">
        <w:rPr>
          <w:rFonts w:ascii="Arial Narrow" w:hAnsi="Arial Narrow"/>
          <w:i/>
          <w:sz w:val="20"/>
          <w:szCs w:val="20"/>
        </w:rPr>
        <w:t>tax-exempt</w:t>
      </w:r>
      <w:r w:rsidRPr="00F26E57">
        <w:rPr>
          <w:rFonts w:ascii="Arial Narrow" w:hAnsi="Arial Narrow"/>
          <w:sz w:val="20"/>
          <w:szCs w:val="20"/>
        </w:rPr>
        <w:t xml:space="preserve"> investors in private funds</w:t>
      </w:r>
      <w:r w:rsidR="003A42A7" w:rsidRPr="00F26E57">
        <w:rPr>
          <w:rFonts w:ascii="Arial Narrow" w:hAnsi="Arial Narrow"/>
          <w:sz w:val="20"/>
          <w:szCs w:val="20"/>
        </w:rPr>
        <w:t xml:space="preserve"> should consider the </w:t>
      </w:r>
      <w:r w:rsidR="007E525D" w:rsidRPr="00F26E57">
        <w:rPr>
          <w:rFonts w:ascii="Arial Narrow" w:hAnsi="Arial Narrow"/>
          <w:sz w:val="20"/>
          <w:szCs w:val="20"/>
        </w:rPr>
        <w:t>tax treatment applicable to their respective account</w:t>
      </w:r>
      <w:r w:rsidR="00D64B79" w:rsidRPr="00F26E57">
        <w:rPr>
          <w:rFonts w:ascii="Arial Narrow" w:hAnsi="Arial Narrow"/>
          <w:sz w:val="20"/>
          <w:szCs w:val="20"/>
        </w:rPr>
        <w:t xml:space="preserve"> type</w:t>
      </w:r>
      <w:r w:rsidR="007E525D" w:rsidRPr="00F26E57">
        <w:rPr>
          <w:rFonts w:ascii="Arial Narrow" w:hAnsi="Arial Narrow"/>
          <w:sz w:val="20"/>
          <w:szCs w:val="20"/>
        </w:rPr>
        <w:t xml:space="preserve">.  As described above, the pass-through of fund distributions establishes the initial character of income, gains, losses, etc., from the fund. Thereafter, </w:t>
      </w:r>
      <w:r w:rsidR="00D64B79" w:rsidRPr="00F26E57">
        <w:rPr>
          <w:rFonts w:ascii="Arial Narrow" w:hAnsi="Arial Narrow"/>
          <w:sz w:val="20"/>
          <w:szCs w:val="20"/>
        </w:rPr>
        <w:t xml:space="preserve">however, </w:t>
      </w:r>
      <w:r w:rsidR="007E525D" w:rsidRPr="00F26E57">
        <w:rPr>
          <w:rFonts w:ascii="Arial Narrow" w:hAnsi="Arial Narrow"/>
          <w:sz w:val="20"/>
          <w:szCs w:val="20"/>
        </w:rPr>
        <w:t xml:space="preserve">the ultimate tax treatment </w:t>
      </w:r>
      <w:r w:rsidR="00D64B79" w:rsidRPr="00F26E57">
        <w:rPr>
          <w:rFonts w:ascii="Arial Narrow" w:hAnsi="Arial Narrow"/>
          <w:sz w:val="20"/>
          <w:szCs w:val="20"/>
        </w:rPr>
        <w:t xml:space="preserve">of distributions to an individual depends upon the nature of, and rules surrounding, the tax-exempt account itself. </w:t>
      </w:r>
    </w:p>
    <w:p w:rsidR="00C25B42" w:rsidRPr="00F26E57" w:rsidRDefault="00C25B42" w:rsidP="00152E2C">
      <w:pPr>
        <w:jc w:val="both"/>
        <w:rPr>
          <w:rFonts w:ascii="Arial Narrow" w:hAnsi="Arial Narrow"/>
          <w:sz w:val="20"/>
          <w:szCs w:val="20"/>
        </w:rPr>
      </w:pPr>
      <w:r w:rsidRPr="00F26E57">
        <w:rPr>
          <w:rFonts w:ascii="Arial Narrow" w:hAnsi="Arial Narrow"/>
          <w:b/>
          <w:sz w:val="20"/>
          <w:szCs w:val="20"/>
        </w:rPr>
        <w:t xml:space="preserve">Costs &amp; </w:t>
      </w:r>
      <w:proofErr w:type="gramStart"/>
      <w:r w:rsidRPr="00F26E57">
        <w:rPr>
          <w:rFonts w:ascii="Arial Narrow" w:hAnsi="Arial Narrow"/>
          <w:b/>
          <w:sz w:val="20"/>
          <w:szCs w:val="20"/>
        </w:rPr>
        <w:t>Fee</w:t>
      </w:r>
      <w:r w:rsidR="008E6E51" w:rsidRPr="00F26E57">
        <w:rPr>
          <w:rFonts w:ascii="Arial Narrow" w:hAnsi="Arial Narrow"/>
          <w:b/>
          <w:sz w:val="20"/>
          <w:szCs w:val="20"/>
        </w:rPr>
        <w:t>s</w:t>
      </w:r>
      <w:r w:rsidR="008E6E51" w:rsidRPr="00F26E57">
        <w:rPr>
          <w:rFonts w:ascii="Arial Narrow" w:hAnsi="Arial Narrow"/>
          <w:sz w:val="20"/>
          <w:szCs w:val="20"/>
        </w:rPr>
        <w:t xml:space="preserve">  </w:t>
      </w:r>
      <w:r w:rsidR="003E058D" w:rsidRPr="00F26E57">
        <w:rPr>
          <w:rFonts w:ascii="Arial Narrow" w:hAnsi="Arial Narrow"/>
          <w:sz w:val="20"/>
          <w:szCs w:val="20"/>
        </w:rPr>
        <w:t>For</w:t>
      </w:r>
      <w:proofErr w:type="gramEnd"/>
      <w:r w:rsidR="003E058D" w:rsidRPr="00F26E57">
        <w:rPr>
          <w:rFonts w:ascii="Arial Narrow" w:hAnsi="Arial Narrow"/>
          <w:sz w:val="20"/>
          <w:szCs w:val="20"/>
        </w:rPr>
        <w:t xml:space="preserve"> employees and family members qualified to invest in our private funds, the </w:t>
      </w:r>
      <w:r w:rsidR="008E6E51" w:rsidRPr="00F26E57">
        <w:rPr>
          <w:rFonts w:ascii="Arial Narrow" w:hAnsi="Arial Narrow"/>
          <w:sz w:val="20"/>
          <w:szCs w:val="20"/>
        </w:rPr>
        <w:t xml:space="preserve">firm’s </w:t>
      </w:r>
      <w:proofErr w:type="spellStart"/>
      <w:r w:rsidR="008E6E51" w:rsidRPr="00F26E57">
        <w:rPr>
          <w:rFonts w:ascii="Arial Narrow" w:hAnsi="Arial Narrow"/>
          <w:sz w:val="20"/>
          <w:szCs w:val="20"/>
        </w:rPr>
        <w:t>EIS</w:t>
      </w:r>
      <w:proofErr w:type="spellEnd"/>
      <w:r w:rsidR="008E6E51" w:rsidRPr="00F26E57">
        <w:rPr>
          <w:rFonts w:ascii="Arial Narrow" w:hAnsi="Arial Narrow"/>
          <w:sz w:val="20"/>
          <w:szCs w:val="20"/>
        </w:rPr>
        <w:t xml:space="preserve"> program</w:t>
      </w:r>
      <w:r w:rsidR="003E058D" w:rsidRPr="00F26E57">
        <w:rPr>
          <w:rFonts w:ascii="Arial Narrow" w:hAnsi="Arial Narrow"/>
          <w:sz w:val="20"/>
          <w:szCs w:val="20"/>
        </w:rPr>
        <w:t xml:space="preserve"> waives all fund </w:t>
      </w:r>
      <w:r w:rsidR="003E058D" w:rsidRPr="00F26E57">
        <w:rPr>
          <w:rFonts w:ascii="Arial Narrow" w:hAnsi="Arial Narrow"/>
          <w:b/>
          <w:sz w:val="20"/>
          <w:szCs w:val="20"/>
        </w:rPr>
        <w:t>management fees</w:t>
      </w:r>
      <w:r w:rsidR="003E058D" w:rsidRPr="00F26E57">
        <w:rPr>
          <w:rFonts w:ascii="Arial Narrow" w:hAnsi="Arial Narrow"/>
          <w:sz w:val="20"/>
          <w:szCs w:val="20"/>
        </w:rPr>
        <w:t xml:space="preserve"> and </w:t>
      </w:r>
      <w:r w:rsidR="001F49C9" w:rsidRPr="00F26E57">
        <w:rPr>
          <w:rFonts w:ascii="Arial Narrow" w:hAnsi="Arial Narrow"/>
          <w:sz w:val="20"/>
          <w:szCs w:val="20"/>
        </w:rPr>
        <w:t xml:space="preserve">incentive fees </w:t>
      </w:r>
      <w:r w:rsidR="003E058D" w:rsidRPr="00F26E57">
        <w:rPr>
          <w:rFonts w:ascii="Arial Narrow" w:hAnsi="Arial Narrow"/>
          <w:sz w:val="20"/>
          <w:szCs w:val="20"/>
        </w:rPr>
        <w:t xml:space="preserve">or so–called </w:t>
      </w:r>
      <w:r w:rsidR="003E058D" w:rsidRPr="00F26E57">
        <w:rPr>
          <w:rFonts w:ascii="Arial Narrow" w:hAnsi="Arial Narrow"/>
          <w:b/>
          <w:sz w:val="20"/>
          <w:szCs w:val="20"/>
        </w:rPr>
        <w:t>carried interest</w:t>
      </w:r>
      <w:r w:rsidR="003E058D" w:rsidRPr="00F26E57">
        <w:rPr>
          <w:rFonts w:ascii="Arial Narrow" w:hAnsi="Arial Narrow"/>
          <w:sz w:val="20"/>
          <w:szCs w:val="20"/>
        </w:rPr>
        <w:t>.  Operating costs remain part of the expense structure of the funds themselves and impact all fund investors ratably.</w:t>
      </w:r>
    </w:p>
    <w:p w:rsidR="008E6783" w:rsidRPr="00F26E57" w:rsidRDefault="003E058D" w:rsidP="00152E2C">
      <w:pPr>
        <w:jc w:val="both"/>
        <w:rPr>
          <w:rFonts w:ascii="Arial Narrow" w:hAnsi="Arial Narrow"/>
          <w:sz w:val="20"/>
          <w:szCs w:val="20"/>
        </w:rPr>
      </w:pPr>
      <w:r w:rsidRPr="00F26E57">
        <w:rPr>
          <w:rFonts w:ascii="Arial Narrow" w:hAnsi="Arial Narrow"/>
          <w:sz w:val="20"/>
          <w:szCs w:val="20"/>
        </w:rPr>
        <w:t xml:space="preserve">For </w:t>
      </w:r>
      <w:r w:rsidR="00AE5898" w:rsidRPr="00F26E57">
        <w:rPr>
          <w:rFonts w:ascii="Arial Narrow" w:hAnsi="Arial Narrow"/>
          <w:sz w:val="20"/>
          <w:szCs w:val="20"/>
        </w:rPr>
        <w:t xml:space="preserve">arm’s-length, </w:t>
      </w:r>
      <w:r w:rsidRPr="00F26E57">
        <w:rPr>
          <w:rFonts w:ascii="Arial Narrow" w:hAnsi="Arial Narrow"/>
          <w:sz w:val="20"/>
          <w:szCs w:val="20"/>
        </w:rPr>
        <w:t>non-</w:t>
      </w:r>
      <w:proofErr w:type="spellStart"/>
      <w:r w:rsidRPr="00F26E57">
        <w:rPr>
          <w:rFonts w:ascii="Arial Narrow" w:hAnsi="Arial Narrow"/>
          <w:sz w:val="20"/>
          <w:szCs w:val="20"/>
        </w:rPr>
        <w:t>EIS</w:t>
      </w:r>
      <w:proofErr w:type="spellEnd"/>
      <w:r w:rsidRPr="00F26E57">
        <w:rPr>
          <w:rFonts w:ascii="Arial Narrow" w:hAnsi="Arial Narrow"/>
          <w:sz w:val="20"/>
          <w:szCs w:val="20"/>
        </w:rPr>
        <w:t xml:space="preserve"> investors, private equity funds typically combine a</w:t>
      </w:r>
      <w:r w:rsidR="008E6783" w:rsidRPr="00F26E57">
        <w:rPr>
          <w:rFonts w:ascii="Arial Narrow" w:hAnsi="Arial Narrow"/>
          <w:sz w:val="20"/>
          <w:szCs w:val="20"/>
        </w:rPr>
        <w:t>n annual</w:t>
      </w:r>
      <w:r w:rsidRPr="00F26E57">
        <w:rPr>
          <w:rFonts w:ascii="Arial Narrow" w:hAnsi="Arial Narrow"/>
          <w:sz w:val="20"/>
          <w:szCs w:val="20"/>
        </w:rPr>
        <w:t xml:space="preserve"> management fee </w:t>
      </w:r>
      <w:r w:rsidR="00AE5898" w:rsidRPr="00F26E57">
        <w:rPr>
          <w:rFonts w:ascii="Arial Narrow" w:hAnsi="Arial Narrow"/>
          <w:sz w:val="20"/>
          <w:szCs w:val="20"/>
        </w:rPr>
        <w:t xml:space="preserve">of 1% - 2% </w:t>
      </w:r>
      <w:r w:rsidRPr="00F26E57">
        <w:rPr>
          <w:rFonts w:ascii="Arial Narrow" w:hAnsi="Arial Narrow"/>
          <w:sz w:val="20"/>
          <w:szCs w:val="20"/>
        </w:rPr>
        <w:t xml:space="preserve">with additional carried interest </w:t>
      </w:r>
      <w:r w:rsidR="00AE5898" w:rsidRPr="00F26E57">
        <w:rPr>
          <w:rFonts w:ascii="Arial Narrow" w:hAnsi="Arial Narrow"/>
          <w:sz w:val="20"/>
          <w:szCs w:val="20"/>
        </w:rPr>
        <w:t xml:space="preserve">in the investment performance of the fund. Carried interest fees </w:t>
      </w:r>
      <w:r w:rsidRPr="00F26E57">
        <w:rPr>
          <w:rFonts w:ascii="Arial Narrow" w:hAnsi="Arial Narrow"/>
          <w:sz w:val="20"/>
          <w:szCs w:val="20"/>
        </w:rPr>
        <w:t xml:space="preserve">serve as </w:t>
      </w:r>
      <w:r w:rsidR="00AE5898" w:rsidRPr="00F26E57">
        <w:rPr>
          <w:rFonts w:ascii="Arial Narrow" w:hAnsi="Arial Narrow"/>
          <w:sz w:val="20"/>
          <w:szCs w:val="20"/>
        </w:rPr>
        <w:t xml:space="preserve">extra </w:t>
      </w:r>
      <w:r w:rsidRPr="00F26E57">
        <w:rPr>
          <w:rFonts w:ascii="Arial Narrow" w:hAnsi="Arial Narrow"/>
          <w:sz w:val="20"/>
          <w:szCs w:val="20"/>
        </w:rPr>
        <w:t>incentive</w:t>
      </w:r>
      <w:r w:rsidR="00AE5898" w:rsidRPr="00F26E57">
        <w:rPr>
          <w:rFonts w:ascii="Arial Narrow" w:hAnsi="Arial Narrow"/>
          <w:sz w:val="20"/>
          <w:szCs w:val="20"/>
        </w:rPr>
        <w:t>s</w:t>
      </w:r>
      <w:r w:rsidRPr="00F26E57">
        <w:rPr>
          <w:rFonts w:ascii="Arial Narrow" w:hAnsi="Arial Narrow"/>
          <w:sz w:val="20"/>
          <w:szCs w:val="20"/>
        </w:rPr>
        <w:t xml:space="preserve"> for fund </w:t>
      </w:r>
      <w:r w:rsidR="00AE5898" w:rsidRPr="00F26E57">
        <w:rPr>
          <w:rFonts w:ascii="Arial Narrow" w:hAnsi="Arial Narrow"/>
          <w:sz w:val="20"/>
          <w:szCs w:val="20"/>
        </w:rPr>
        <w:t>managers</w:t>
      </w:r>
      <w:r w:rsidR="008E6783" w:rsidRPr="00F26E57">
        <w:rPr>
          <w:rFonts w:ascii="Arial Narrow" w:hAnsi="Arial Narrow"/>
          <w:sz w:val="20"/>
          <w:szCs w:val="20"/>
        </w:rPr>
        <w:t xml:space="preserve">.  Carried interest fees </w:t>
      </w:r>
      <w:r w:rsidR="00AE5898" w:rsidRPr="00F26E57">
        <w:rPr>
          <w:rFonts w:ascii="Arial Narrow" w:hAnsi="Arial Narrow"/>
          <w:sz w:val="20"/>
          <w:szCs w:val="20"/>
        </w:rPr>
        <w:t>generally are tied to fund performance that may be achieved in excess of a threshold</w:t>
      </w:r>
      <w:r w:rsidR="008E6783" w:rsidRPr="00F26E57">
        <w:rPr>
          <w:rFonts w:ascii="Arial Narrow" w:hAnsi="Arial Narrow"/>
          <w:sz w:val="20"/>
          <w:szCs w:val="20"/>
        </w:rPr>
        <w:t xml:space="preserve">, called the </w:t>
      </w:r>
      <w:r w:rsidR="008E6783" w:rsidRPr="00F26E57">
        <w:rPr>
          <w:rFonts w:ascii="Arial Narrow" w:hAnsi="Arial Narrow"/>
          <w:b/>
          <w:sz w:val="20"/>
          <w:szCs w:val="20"/>
        </w:rPr>
        <w:t>preferred return</w:t>
      </w:r>
      <w:r w:rsidR="00AE5898" w:rsidRPr="00F26E57">
        <w:rPr>
          <w:rFonts w:ascii="Arial Narrow" w:hAnsi="Arial Narrow"/>
          <w:sz w:val="20"/>
          <w:szCs w:val="20"/>
        </w:rPr>
        <w:t>.</w:t>
      </w:r>
    </w:p>
    <w:p w:rsidR="005A4896" w:rsidRPr="00F26E57" w:rsidRDefault="008E6783" w:rsidP="00152E2C">
      <w:pPr>
        <w:jc w:val="both"/>
        <w:rPr>
          <w:rFonts w:ascii="Arial Narrow" w:hAnsi="Arial Narrow"/>
          <w:b/>
          <w:sz w:val="20"/>
          <w:szCs w:val="20"/>
        </w:rPr>
      </w:pPr>
      <w:r w:rsidRPr="00F26E57">
        <w:rPr>
          <w:rFonts w:ascii="Arial Narrow" w:hAnsi="Arial Narrow"/>
          <w:sz w:val="20"/>
          <w:szCs w:val="20"/>
        </w:rPr>
        <w:t>Private funds fees can vary widely</w:t>
      </w:r>
      <w:r w:rsidR="00E107C2" w:rsidRPr="00F26E57">
        <w:rPr>
          <w:rFonts w:ascii="Arial Narrow" w:hAnsi="Arial Narrow"/>
          <w:sz w:val="20"/>
          <w:szCs w:val="20"/>
        </w:rPr>
        <w:t xml:space="preserve">, often adjust as fund lifecycles progress, </w:t>
      </w:r>
      <w:r w:rsidRPr="00F26E57">
        <w:rPr>
          <w:rFonts w:ascii="Arial Narrow" w:hAnsi="Arial Narrow"/>
          <w:sz w:val="20"/>
          <w:szCs w:val="20"/>
        </w:rPr>
        <w:t xml:space="preserve">and are described </w:t>
      </w:r>
      <w:r w:rsidR="001F49C9" w:rsidRPr="00F26E57">
        <w:rPr>
          <w:rFonts w:ascii="Arial Narrow" w:hAnsi="Arial Narrow"/>
          <w:sz w:val="20"/>
          <w:szCs w:val="20"/>
        </w:rPr>
        <w:t>in detail with</w:t>
      </w:r>
      <w:r w:rsidRPr="00F26E57">
        <w:rPr>
          <w:rFonts w:ascii="Arial Narrow" w:hAnsi="Arial Narrow"/>
          <w:sz w:val="20"/>
          <w:szCs w:val="20"/>
        </w:rPr>
        <w:t xml:space="preserve">in the private place memorandum for each fund.   </w:t>
      </w:r>
    </w:p>
    <w:p w:rsidR="00E95015" w:rsidRPr="00F26E57" w:rsidRDefault="001120C0" w:rsidP="00152E2C">
      <w:pPr>
        <w:jc w:val="both"/>
        <w:rPr>
          <w:rFonts w:ascii="Arial Narrow" w:hAnsi="Arial Narrow"/>
          <w:sz w:val="20"/>
          <w:szCs w:val="20"/>
        </w:rPr>
      </w:pPr>
      <w:r w:rsidRPr="00F26E57">
        <w:rPr>
          <w:rFonts w:ascii="Arial Narrow" w:hAnsi="Arial Narrow"/>
          <w:b/>
          <w:sz w:val="20"/>
          <w:szCs w:val="20"/>
        </w:rPr>
        <w:t>Performance</w:t>
      </w:r>
      <w:r w:rsidR="001B5278" w:rsidRPr="00F26E57">
        <w:rPr>
          <w:rFonts w:ascii="Arial Narrow" w:hAnsi="Arial Narrow"/>
          <w:b/>
          <w:sz w:val="20"/>
          <w:szCs w:val="20"/>
        </w:rPr>
        <w:t xml:space="preserve"> Measurement</w:t>
      </w:r>
      <w:r w:rsidR="00246AF2" w:rsidRPr="00F26E57">
        <w:rPr>
          <w:rFonts w:ascii="Arial Narrow" w:hAnsi="Arial Narrow"/>
          <w:sz w:val="20"/>
          <w:szCs w:val="20"/>
        </w:rPr>
        <w:t xml:space="preserve">   </w:t>
      </w:r>
      <w:r w:rsidR="00E703CF" w:rsidRPr="00F26E57">
        <w:rPr>
          <w:rFonts w:ascii="Arial Narrow" w:hAnsi="Arial Narrow"/>
          <w:sz w:val="20"/>
          <w:szCs w:val="20"/>
        </w:rPr>
        <w:t>Private equity</w:t>
      </w:r>
      <w:r w:rsidR="00BE4BE8" w:rsidRPr="00F26E57">
        <w:rPr>
          <w:rFonts w:ascii="Arial Narrow" w:hAnsi="Arial Narrow"/>
          <w:sz w:val="20"/>
          <w:szCs w:val="20"/>
        </w:rPr>
        <w:t>-style</w:t>
      </w:r>
      <w:r w:rsidR="00E703CF" w:rsidRPr="00F26E57">
        <w:rPr>
          <w:rFonts w:ascii="Arial Narrow" w:hAnsi="Arial Narrow"/>
          <w:sz w:val="20"/>
          <w:szCs w:val="20"/>
        </w:rPr>
        <w:t xml:space="preserve"> fund performance is often represented using the </w:t>
      </w:r>
      <w:r w:rsidR="00E95015" w:rsidRPr="00F26E57">
        <w:rPr>
          <w:rFonts w:ascii="Arial Narrow" w:hAnsi="Arial Narrow"/>
          <w:sz w:val="20"/>
          <w:szCs w:val="20"/>
        </w:rPr>
        <w:t>I</w:t>
      </w:r>
      <w:r w:rsidR="00E703CF" w:rsidRPr="00F26E57">
        <w:rPr>
          <w:rFonts w:ascii="Arial Narrow" w:hAnsi="Arial Narrow"/>
          <w:b/>
          <w:sz w:val="20"/>
          <w:szCs w:val="20"/>
        </w:rPr>
        <w:t xml:space="preserve">nternal </w:t>
      </w:r>
      <w:r w:rsidR="00E95015" w:rsidRPr="00F26E57">
        <w:rPr>
          <w:rFonts w:ascii="Arial Narrow" w:hAnsi="Arial Narrow"/>
          <w:b/>
          <w:sz w:val="20"/>
          <w:szCs w:val="20"/>
        </w:rPr>
        <w:t>R</w:t>
      </w:r>
      <w:r w:rsidR="00E703CF" w:rsidRPr="00F26E57">
        <w:rPr>
          <w:rFonts w:ascii="Arial Narrow" w:hAnsi="Arial Narrow"/>
          <w:b/>
          <w:sz w:val="20"/>
          <w:szCs w:val="20"/>
        </w:rPr>
        <w:t xml:space="preserve">ate of </w:t>
      </w:r>
      <w:r w:rsidR="00E95015" w:rsidRPr="00F26E57">
        <w:rPr>
          <w:rFonts w:ascii="Arial Narrow" w:hAnsi="Arial Narrow"/>
          <w:b/>
          <w:sz w:val="20"/>
          <w:szCs w:val="20"/>
        </w:rPr>
        <w:t>R</w:t>
      </w:r>
      <w:r w:rsidR="00E703CF" w:rsidRPr="00F26E57">
        <w:rPr>
          <w:rFonts w:ascii="Arial Narrow" w:hAnsi="Arial Narrow"/>
          <w:b/>
          <w:sz w:val="20"/>
          <w:szCs w:val="20"/>
        </w:rPr>
        <w:t xml:space="preserve">eturn </w:t>
      </w:r>
      <w:r w:rsidR="00E703CF" w:rsidRPr="00F26E57">
        <w:rPr>
          <w:rFonts w:ascii="Arial Narrow" w:hAnsi="Arial Narrow"/>
          <w:sz w:val="20"/>
          <w:szCs w:val="20"/>
        </w:rPr>
        <w:t>(</w:t>
      </w:r>
      <w:proofErr w:type="spellStart"/>
      <w:r w:rsidR="00E703CF" w:rsidRPr="00F26E57">
        <w:rPr>
          <w:rFonts w:ascii="Arial Narrow" w:hAnsi="Arial Narrow"/>
          <w:sz w:val="20"/>
          <w:szCs w:val="20"/>
        </w:rPr>
        <w:t>IRR</w:t>
      </w:r>
      <w:proofErr w:type="spellEnd"/>
      <w:r w:rsidR="00E703CF" w:rsidRPr="00F26E57">
        <w:rPr>
          <w:rFonts w:ascii="Arial Narrow" w:hAnsi="Arial Narrow"/>
          <w:sz w:val="20"/>
          <w:szCs w:val="20"/>
        </w:rPr>
        <w:t>) f</w:t>
      </w:r>
      <w:r w:rsidR="00BE4BE8" w:rsidRPr="00F26E57">
        <w:rPr>
          <w:rFonts w:ascii="Arial Narrow" w:hAnsi="Arial Narrow"/>
          <w:sz w:val="20"/>
          <w:szCs w:val="20"/>
        </w:rPr>
        <w:t>o</w:t>
      </w:r>
      <w:r w:rsidR="00E703CF" w:rsidRPr="00F26E57">
        <w:rPr>
          <w:rFonts w:ascii="Arial Narrow" w:hAnsi="Arial Narrow"/>
          <w:sz w:val="20"/>
          <w:szCs w:val="20"/>
        </w:rPr>
        <w:t xml:space="preserve">r the fund, </w:t>
      </w:r>
      <w:r w:rsidR="00BE4BE8" w:rsidRPr="00F26E57">
        <w:rPr>
          <w:rFonts w:ascii="Arial Narrow" w:hAnsi="Arial Narrow"/>
          <w:sz w:val="20"/>
          <w:szCs w:val="20"/>
        </w:rPr>
        <w:t xml:space="preserve">typically </w:t>
      </w:r>
      <w:r w:rsidR="00E703CF" w:rsidRPr="00F26E57">
        <w:rPr>
          <w:rFonts w:ascii="Arial Narrow" w:hAnsi="Arial Narrow"/>
          <w:sz w:val="20"/>
          <w:szCs w:val="20"/>
        </w:rPr>
        <w:t>both gross and net of applicable fees.</w:t>
      </w:r>
      <w:r w:rsidR="006A7F5E" w:rsidRPr="00F26E57">
        <w:rPr>
          <w:rFonts w:ascii="Arial Narrow" w:hAnsi="Arial Narrow"/>
          <w:sz w:val="20"/>
          <w:szCs w:val="20"/>
        </w:rPr>
        <w:t xml:space="preserve"> Performance can also be described using the </w:t>
      </w:r>
      <w:r w:rsidR="00E95015" w:rsidRPr="00F26E57">
        <w:rPr>
          <w:rFonts w:ascii="Arial Narrow" w:hAnsi="Arial Narrow"/>
          <w:sz w:val="20"/>
          <w:szCs w:val="20"/>
        </w:rPr>
        <w:t>M</w:t>
      </w:r>
      <w:r w:rsidR="006A7F5E" w:rsidRPr="00F26E57">
        <w:rPr>
          <w:rFonts w:ascii="Arial Narrow" w:hAnsi="Arial Narrow"/>
          <w:b/>
          <w:sz w:val="20"/>
          <w:szCs w:val="20"/>
        </w:rPr>
        <w:t>ultiple</w:t>
      </w:r>
      <w:r w:rsidR="006A7F5E" w:rsidRPr="00F26E57">
        <w:rPr>
          <w:rFonts w:ascii="Arial Narrow" w:hAnsi="Arial Narrow"/>
          <w:sz w:val="20"/>
          <w:szCs w:val="20"/>
        </w:rPr>
        <w:t xml:space="preserve"> or “realization multiple”</w:t>
      </w:r>
      <w:r w:rsidR="00E95015" w:rsidRPr="00F26E57">
        <w:rPr>
          <w:rFonts w:ascii="Arial Narrow" w:hAnsi="Arial Narrow"/>
          <w:sz w:val="20"/>
          <w:szCs w:val="20"/>
        </w:rPr>
        <w:t xml:space="preserve"> both gross and net of applicable fees.  </w:t>
      </w:r>
      <w:r w:rsidR="006A7F5E" w:rsidRPr="00F26E57">
        <w:rPr>
          <w:rFonts w:ascii="Arial Narrow" w:hAnsi="Arial Narrow"/>
          <w:sz w:val="20"/>
          <w:szCs w:val="20"/>
        </w:rPr>
        <w:t xml:space="preserve">The </w:t>
      </w:r>
      <w:r w:rsidR="00E95015" w:rsidRPr="00F26E57">
        <w:rPr>
          <w:rFonts w:ascii="Arial Narrow" w:hAnsi="Arial Narrow"/>
          <w:sz w:val="20"/>
          <w:szCs w:val="20"/>
        </w:rPr>
        <w:t>M</w:t>
      </w:r>
      <w:r w:rsidR="006A7F5E" w:rsidRPr="00F26E57">
        <w:rPr>
          <w:rFonts w:ascii="Arial Narrow" w:hAnsi="Arial Narrow"/>
          <w:sz w:val="20"/>
          <w:szCs w:val="20"/>
        </w:rPr>
        <w:t xml:space="preserve">ultiple presents the ratio of </w:t>
      </w:r>
      <w:r w:rsidR="00E95015" w:rsidRPr="00F26E57">
        <w:rPr>
          <w:rFonts w:ascii="Arial Narrow" w:hAnsi="Arial Narrow"/>
          <w:sz w:val="20"/>
          <w:szCs w:val="20"/>
        </w:rPr>
        <w:t xml:space="preserve">(a) </w:t>
      </w:r>
      <w:r w:rsidR="006A7F5E" w:rsidRPr="00F26E57">
        <w:rPr>
          <w:rFonts w:ascii="Arial Narrow" w:hAnsi="Arial Narrow"/>
          <w:sz w:val="20"/>
          <w:szCs w:val="20"/>
        </w:rPr>
        <w:t>total distribution</w:t>
      </w:r>
      <w:r w:rsidR="00E95015" w:rsidRPr="00F26E57">
        <w:rPr>
          <w:rFonts w:ascii="Arial Narrow" w:hAnsi="Arial Narrow"/>
          <w:sz w:val="20"/>
          <w:szCs w:val="20"/>
        </w:rPr>
        <w:t>s made</w:t>
      </w:r>
      <w:r w:rsidR="006A7F5E" w:rsidRPr="00F26E57">
        <w:rPr>
          <w:rFonts w:ascii="Arial Narrow" w:hAnsi="Arial Narrow"/>
          <w:sz w:val="20"/>
          <w:szCs w:val="20"/>
        </w:rPr>
        <w:t xml:space="preserve"> </w:t>
      </w:r>
      <w:r w:rsidR="006A7F5E" w:rsidRPr="00F26E57">
        <w:rPr>
          <w:rFonts w:ascii="Arial Narrow" w:hAnsi="Arial Narrow"/>
          <w:i/>
          <w:sz w:val="20"/>
          <w:szCs w:val="20"/>
        </w:rPr>
        <w:t>to</w:t>
      </w:r>
      <w:r w:rsidR="006A7F5E" w:rsidRPr="00F26E57">
        <w:rPr>
          <w:rFonts w:ascii="Arial Narrow" w:hAnsi="Arial Narrow"/>
          <w:sz w:val="20"/>
          <w:szCs w:val="20"/>
        </w:rPr>
        <w:t xml:space="preserve"> investors</w:t>
      </w:r>
      <w:r w:rsidR="00E95015" w:rsidRPr="00F26E57">
        <w:rPr>
          <w:rFonts w:ascii="Arial Narrow" w:hAnsi="Arial Narrow"/>
          <w:sz w:val="20"/>
          <w:szCs w:val="20"/>
        </w:rPr>
        <w:t>,</w:t>
      </w:r>
      <w:r w:rsidR="006A7F5E" w:rsidRPr="00F26E57">
        <w:rPr>
          <w:rFonts w:ascii="Arial Narrow" w:hAnsi="Arial Narrow"/>
          <w:sz w:val="20"/>
          <w:szCs w:val="20"/>
        </w:rPr>
        <w:t xml:space="preserve"> to </w:t>
      </w:r>
      <w:r w:rsidR="00E95015" w:rsidRPr="00F26E57">
        <w:rPr>
          <w:rFonts w:ascii="Arial Narrow" w:hAnsi="Arial Narrow"/>
          <w:sz w:val="20"/>
          <w:szCs w:val="20"/>
        </w:rPr>
        <w:t xml:space="preserve">(b) </w:t>
      </w:r>
      <w:r w:rsidR="006A7F5E" w:rsidRPr="00F26E57">
        <w:rPr>
          <w:rFonts w:ascii="Arial Narrow" w:hAnsi="Arial Narrow"/>
          <w:sz w:val="20"/>
          <w:szCs w:val="20"/>
        </w:rPr>
        <w:t xml:space="preserve">the total paid-in capital </w:t>
      </w:r>
      <w:r w:rsidR="006A7F5E" w:rsidRPr="00F26E57">
        <w:rPr>
          <w:rFonts w:ascii="Arial Narrow" w:hAnsi="Arial Narrow"/>
          <w:i/>
          <w:sz w:val="20"/>
          <w:szCs w:val="20"/>
        </w:rPr>
        <w:t>from</w:t>
      </w:r>
      <w:r w:rsidR="006A7F5E" w:rsidRPr="00F26E57">
        <w:rPr>
          <w:rFonts w:ascii="Arial Narrow" w:hAnsi="Arial Narrow"/>
          <w:sz w:val="20"/>
          <w:szCs w:val="20"/>
        </w:rPr>
        <w:t xml:space="preserve"> investors.</w:t>
      </w:r>
      <w:r w:rsidR="00E95015" w:rsidRPr="00F26E57">
        <w:rPr>
          <w:rFonts w:ascii="Arial Narrow" w:hAnsi="Arial Narrow"/>
          <w:sz w:val="20"/>
          <w:szCs w:val="20"/>
        </w:rPr>
        <w:t xml:space="preserve">  </w:t>
      </w:r>
    </w:p>
    <w:p w:rsidR="00E95015" w:rsidRPr="00F26E57" w:rsidRDefault="00E95015" w:rsidP="00152E2C">
      <w:pPr>
        <w:jc w:val="both"/>
        <w:rPr>
          <w:rFonts w:ascii="Arial Narrow" w:hAnsi="Arial Narrow"/>
          <w:sz w:val="20"/>
          <w:szCs w:val="20"/>
        </w:rPr>
      </w:pPr>
      <w:r w:rsidRPr="00F26E57">
        <w:rPr>
          <w:rFonts w:ascii="Arial Narrow" w:hAnsi="Arial Narrow"/>
          <w:sz w:val="20"/>
          <w:szCs w:val="20"/>
        </w:rPr>
        <w:t xml:space="preserve">Because private equity funds typically invest committed capital over 3-4 years, the relationship between </w:t>
      </w:r>
      <w:proofErr w:type="spellStart"/>
      <w:r w:rsidRPr="00F26E57">
        <w:rPr>
          <w:rFonts w:ascii="Arial Narrow" w:hAnsi="Arial Narrow"/>
          <w:sz w:val="20"/>
          <w:szCs w:val="20"/>
        </w:rPr>
        <w:t>IRR</w:t>
      </w:r>
      <w:proofErr w:type="spellEnd"/>
      <w:r w:rsidRPr="00F26E57">
        <w:rPr>
          <w:rFonts w:ascii="Arial Narrow" w:hAnsi="Arial Narrow"/>
          <w:sz w:val="20"/>
          <w:szCs w:val="20"/>
        </w:rPr>
        <w:t xml:space="preserve"> and Realization Multiple is important to consider when </w:t>
      </w:r>
      <w:r w:rsidR="00CC2546" w:rsidRPr="00F26E57">
        <w:rPr>
          <w:rFonts w:ascii="Arial Narrow" w:hAnsi="Arial Narrow"/>
          <w:sz w:val="20"/>
          <w:szCs w:val="20"/>
        </w:rPr>
        <w:t>reviewing fund performance. This is somewhat complex but extremely i</w:t>
      </w:r>
      <w:r w:rsidR="00F26E57">
        <w:rPr>
          <w:rFonts w:ascii="Arial Narrow" w:hAnsi="Arial Narrow"/>
          <w:sz w:val="20"/>
          <w:szCs w:val="20"/>
        </w:rPr>
        <w:t>mportant to investor education.</w:t>
      </w:r>
      <w:r w:rsidR="00CC2546" w:rsidRPr="00F26E57">
        <w:rPr>
          <w:rFonts w:ascii="Arial Narrow" w:hAnsi="Arial Narrow"/>
          <w:sz w:val="20"/>
          <w:szCs w:val="20"/>
        </w:rPr>
        <w:t xml:space="preserve">  </w:t>
      </w:r>
    </w:p>
    <w:p w:rsidR="00626E5B" w:rsidRPr="00F26E57" w:rsidRDefault="00EC5633" w:rsidP="00152E2C">
      <w:pPr>
        <w:jc w:val="both"/>
        <w:rPr>
          <w:rFonts w:ascii="Arial Narrow" w:hAnsi="Arial Narrow"/>
          <w:sz w:val="20"/>
          <w:szCs w:val="20"/>
        </w:rPr>
      </w:pPr>
      <w:r w:rsidRPr="00F26E57">
        <w:rPr>
          <w:rFonts w:ascii="Arial Narrow" w:hAnsi="Arial Narrow"/>
          <w:b/>
          <w:sz w:val="20"/>
          <w:szCs w:val="20"/>
        </w:rPr>
        <w:t xml:space="preserve">Fund </w:t>
      </w:r>
      <w:r w:rsidR="001B5278" w:rsidRPr="00F26E57">
        <w:rPr>
          <w:rFonts w:ascii="Arial Narrow" w:hAnsi="Arial Narrow"/>
          <w:b/>
          <w:sz w:val="20"/>
          <w:szCs w:val="20"/>
        </w:rPr>
        <w:t>Minimums</w:t>
      </w:r>
      <w:r w:rsidR="001120C0" w:rsidRPr="00F26E57">
        <w:rPr>
          <w:rFonts w:ascii="Arial Narrow" w:hAnsi="Arial Narrow"/>
          <w:b/>
          <w:sz w:val="20"/>
          <w:szCs w:val="20"/>
        </w:rPr>
        <w:t xml:space="preserve"> </w:t>
      </w:r>
      <w:r w:rsidR="005A4896" w:rsidRPr="00F26E57">
        <w:rPr>
          <w:rFonts w:ascii="Arial Narrow" w:hAnsi="Arial Narrow"/>
          <w:sz w:val="20"/>
          <w:szCs w:val="20"/>
        </w:rPr>
        <w:t xml:space="preserve">For qualified employees and family members, the minimum initial commitment to NB private funds available through </w:t>
      </w:r>
      <w:proofErr w:type="spellStart"/>
      <w:r w:rsidR="005A4896" w:rsidRPr="00F26E57">
        <w:rPr>
          <w:rFonts w:ascii="Arial Narrow" w:hAnsi="Arial Narrow"/>
          <w:sz w:val="20"/>
          <w:szCs w:val="20"/>
        </w:rPr>
        <w:t>EIS</w:t>
      </w:r>
      <w:proofErr w:type="spellEnd"/>
      <w:r w:rsidR="005A4896" w:rsidRPr="00F26E57">
        <w:rPr>
          <w:rFonts w:ascii="Arial Narrow" w:hAnsi="Arial Narrow"/>
          <w:sz w:val="20"/>
          <w:szCs w:val="20"/>
        </w:rPr>
        <w:t xml:space="preserve"> generally is $25,000.  N</w:t>
      </w:r>
      <w:r w:rsidR="00246AF2" w:rsidRPr="00F26E57">
        <w:rPr>
          <w:rFonts w:ascii="Arial Narrow" w:hAnsi="Arial Narrow"/>
          <w:sz w:val="20"/>
          <w:szCs w:val="20"/>
        </w:rPr>
        <w:t>on-employee client minimums</w:t>
      </w:r>
      <w:r w:rsidR="005A4896" w:rsidRPr="00F26E57">
        <w:rPr>
          <w:rFonts w:ascii="Arial Narrow" w:hAnsi="Arial Narrow"/>
          <w:sz w:val="20"/>
          <w:szCs w:val="20"/>
        </w:rPr>
        <w:t xml:space="preserve"> can vary widely as a function of individual fund requirements, generally from $250,000 to $10 million</w:t>
      </w:r>
      <w:r w:rsidRPr="00F26E57">
        <w:rPr>
          <w:rFonts w:ascii="Arial Narrow" w:hAnsi="Arial Narrow"/>
          <w:sz w:val="20"/>
          <w:szCs w:val="20"/>
        </w:rPr>
        <w:t xml:space="preserve">. </w:t>
      </w:r>
    </w:p>
    <w:p w:rsidR="000C401D" w:rsidRPr="00F26E57" w:rsidRDefault="000C401D" w:rsidP="00152E2C">
      <w:pPr>
        <w:jc w:val="both"/>
        <w:rPr>
          <w:rFonts w:ascii="Arial Narrow" w:hAnsi="Arial Narrow"/>
          <w:sz w:val="20"/>
          <w:szCs w:val="20"/>
        </w:rPr>
      </w:pPr>
      <w:r w:rsidRPr="00F26E57">
        <w:rPr>
          <w:rFonts w:ascii="Arial Narrow" w:hAnsi="Arial Narrow"/>
          <w:b/>
          <w:sz w:val="20"/>
          <w:szCs w:val="20"/>
        </w:rPr>
        <w:t>CANDIDATE TOPICS NOT INCLUDED:</w:t>
      </w:r>
    </w:p>
    <w:p w:rsidR="000C401D" w:rsidRPr="00F26E57" w:rsidRDefault="000C401D" w:rsidP="000C401D">
      <w:pPr>
        <w:pStyle w:val="ListParagraph"/>
        <w:numPr>
          <w:ilvl w:val="0"/>
          <w:numId w:val="4"/>
        </w:numPr>
        <w:jc w:val="both"/>
        <w:rPr>
          <w:rFonts w:ascii="Arial Narrow" w:hAnsi="Arial Narrow"/>
          <w:sz w:val="20"/>
          <w:szCs w:val="20"/>
        </w:rPr>
      </w:pPr>
      <w:r w:rsidRPr="00F26E57">
        <w:rPr>
          <w:rFonts w:ascii="Arial Narrow" w:hAnsi="Arial Narrow"/>
          <w:sz w:val="20"/>
          <w:szCs w:val="20"/>
        </w:rPr>
        <w:t>Discussion of the types of NB private equity funds</w:t>
      </w:r>
    </w:p>
    <w:p w:rsidR="000C401D" w:rsidRPr="00F26E57" w:rsidRDefault="000C401D" w:rsidP="000C401D">
      <w:pPr>
        <w:pStyle w:val="ListParagraph"/>
        <w:numPr>
          <w:ilvl w:val="0"/>
          <w:numId w:val="4"/>
        </w:numPr>
        <w:jc w:val="both"/>
        <w:rPr>
          <w:rFonts w:ascii="Arial Narrow" w:hAnsi="Arial Narrow"/>
          <w:sz w:val="20"/>
          <w:szCs w:val="20"/>
        </w:rPr>
      </w:pPr>
      <w:r w:rsidRPr="00F26E57">
        <w:rPr>
          <w:rFonts w:ascii="Arial Narrow" w:hAnsi="Arial Narrow"/>
          <w:sz w:val="20"/>
          <w:szCs w:val="20"/>
        </w:rPr>
        <w:t>Discussion of the types of NB hedge funds</w:t>
      </w:r>
    </w:p>
    <w:p w:rsidR="000C401D" w:rsidRPr="00F26E57" w:rsidRDefault="000C401D" w:rsidP="000C401D">
      <w:pPr>
        <w:pStyle w:val="ListParagraph"/>
        <w:numPr>
          <w:ilvl w:val="0"/>
          <w:numId w:val="4"/>
        </w:numPr>
        <w:jc w:val="both"/>
        <w:rPr>
          <w:rFonts w:ascii="Arial Narrow" w:hAnsi="Arial Narrow"/>
          <w:sz w:val="20"/>
          <w:szCs w:val="20"/>
        </w:rPr>
      </w:pPr>
      <w:r w:rsidRPr="00F26E57">
        <w:rPr>
          <w:rFonts w:ascii="Arial Narrow" w:hAnsi="Arial Narrow"/>
          <w:sz w:val="20"/>
          <w:szCs w:val="20"/>
        </w:rPr>
        <w:t>Portfolio optimality using private equity (image)</w:t>
      </w:r>
    </w:p>
    <w:p w:rsidR="000C401D" w:rsidRPr="00F26E57" w:rsidRDefault="000C401D" w:rsidP="000C401D">
      <w:pPr>
        <w:pStyle w:val="ListParagraph"/>
        <w:numPr>
          <w:ilvl w:val="0"/>
          <w:numId w:val="4"/>
        </w:numPr>
        <w:jc w:val="both"/>
        <w:rPr>
          <w:rFonts w:ascii="Arial Narrow" w:hAnsi="Arial Narrow"/>
          <w:sz w:val="20"/>
          <w:szCs w:val="20"/>
        </w:rPr>
      </w:pPr>
      <w:r w:rsidRPr="00F26E57">
        <w:rPr>
          <w:rFonts w:ascii="Arial Narrow" w:hAnsi="Arial Narrow"/>
          <w:sz w:val="20"/>
          <w:szCs w:val="20"/>
        </w:rPr>
        <w:t>Building a portfolio of ‘rolling’ private funds</w:t>
      </w:r>
    </w:p>
    <w:p w:rsidR="000C401D" w:rsidRPr="00F26E57" w:rsidRDefault="000C401D" w:rsidP="000C401D">
      <w:pPr>
        <w:pStyle w:val="ListParagraph"/>
        <w:numPr>
          <w:ilvl w:val="0"/>
          <w:numId w:val="4"/>
        </w:numPr>
        <w:jc w:val="both"/>
        <w:rPr>
          <w:rFonts w:ascii="Arial Narrow" w:hAnsi="Arial Narrow"/>
          <w:sz w:val="20"/>
          <w:szCs w:val="20"/>
        </w:rPr>
      </w:pPr>
      <w:proofErr w:type="spellStart"/>
      <w:r w:rsidRPr="00F26E57">
        <w:rPr>
          <w:rFonts w:ascii="Arial Narrow" w:hAnsi="Arial Narrow"/>
          <w:sz w:val="20"/>
          <w:szCs w:val="20"/>
        </w:rPr>
        <w:t>ECI</w:t>
      </w:r>
      <w:proofErr w:type="spellEnd"/>
      <w:r w:rsidRPr="00F26E57">
        <w:rPr>
          <w:rFonts w:ascii="Arial Narrow" w:hAnsi="Arial Narrow"/>
          <w:sz w:val="20"/>
          <w:szCs w:val="20"/>
        </w:rPr>
        <w:t xml:space="preserve"> / </w:t>
      </w:r>
      <w:proofErr w:type="spellStart"/>
      <w:r w:rsidRPr="00F26E57">
        <w:rPr>
          <w:rFonts w:ascii="Arial Narrow" w:hAnsi="Arial Narrow"/>
          <w:sz w:val="20"/>
          <w:szCs w:val="20"/>
        </w:rPr>
        <w:t>UBTI</w:t>
      </w:r>
      <w:proofErr w:type="spellEnd"/>
      <w:r w:rsidRPr="00F26E57">
        <w:rPr>
          <w:rFonts w:ascii="Arial Narrow" w:hAnsi="Arial Narrow"/>
          <w:sz w:val="20"/>
          <w:szCs w:val="20"/>
        </w:rPr>
        <w:t xml:space="preserve"> as may impact IRA and non-U.S. investors</w:t>
      </w:r>
    </w:p>
    <w:p w:rsidR="000C401D" w:rsidRPr="00F26E57" w:rsidRDefault="000C401D" w:rsidP="000C401D">
      <w:pPr>
        <w:pStyle w:val="ListParagraph"/>
        <w:numPr>
          <w:ilvl w:val="0"/>
          <w:numId w:val="4"/>
        </w:numPr>
        <w:jc w:val="both"/>
        <w:rPr>
          <w:rFonts w:ascii="Arial Narrow" w:hAnsi="Arial Narrow"/>
          <w:sz w:val="20"/>
          <w:szCs w:val="20"/>
        </w:rPr>
      </w:pPr>
      <w:r w:rsidRPr="00F26E57">
        <w:rPr>
          <w:rFonts w:ascii="Arial Narrow" w:hAnsi="Arial Narrow"/>
          <w:sz w:val="20"/>
          <w:szCs w:val="20"/>
        </w:rPr>
        <w:t>Actual historical NB fund performance</w:t>
      </w:r>
    </w:p>
    <w:p w:rsidR="000C401D" w:rsidRPr="00F26E57" w:rsidRDefault="000C401D" w:rsidP="000C401D">
      <w:pPr>
        <w:pStyle w:val="ListParagraph"/>
        <w:numPr>
          <w:ilvl w:val="0"/>
          <w:numId w:val="4"/>
        </w:numPr>
        <w:jc w:val="both"/>
        <w:rPr>
          <w:rFonts w:ascii="Arial Narrow" w:hAnsi="Arial Narrow"/>
          <w:sz w:val="20"/>
          <w:szCs w:val="20"/>
        </w:rPr>
      </w:pPr>
      <w:r w:rsidRPr="00F26E57">
        <w:rPr>
          <w:rFonts w:ascii="Arial Narrow" w:hAnsi="Arial Narrow"/>
          <w:sz w:val="20"/>
          <w:szCs w:val="20"/>
        </w:rPr>
        <w:t>Client reporting</w:t>
      </w:r>
    </w:p>
    <w:p w:rsidR="000C401D" w:rsidRPr="00F26E57" w:rsidRDefault="000C401D" w:rsidP="000C401D">
      <w:pPr>
        <w:pStyle w:val="ListParagraph"/>
        <w:ind w:left="0"/>
        <w:jc w:val="both"/>
        <w:rPr>
          <w:rFonts w:ascii="Arial Narrow" w:hAnsi="Arial Narrow"/>
          <w:sz w:val="20"/>
          <w:szCs w:val="20"/>
        </w:rPr>
      </w:pPr>
    </w:p>
    <w:p w:rsidR="000C401D" w:rsidRPr="00F26E57" w:rsidRDefault="000C401D" w:rsidP="000C401D">
      <w:pPr>
        <w:pStyle w:val="ListParagraph"/>
        <w:ind w:left="0"/>
        <w:jc w:val="both"/>
        <w:rPr>
          <w:rFonts w:ascii="Arial Narrow" w:hAnsi="Arial Narrow"/>
          <w:sz w:val="20"/>
          <w:szCs w:val="20"/>
        </w:rPr>
        <w:sectPr w:rsidR="000C401D" w:rsidRPr="00F26E57" w:rsidSect="007F29C7">
          <w:type w:val="continuous"/>
          <w:pgSz w:w="12240" w:h="15840"/>
          <w:pgMar w:top="1152" w:right="1296" w:bottom="1152" w:left="1296" w:header="720" w:footer="720" w:gutter="0"/>
          <w:cols w:num="2" w:space="360"/>
          <w:docGrid w:linePitch="360"/>
        </w:sectPr>
      </w:pPr>
    </w:p>
    <w:p w:rsidR="000C401D" w:rsidRPr="00F26E57" w:rsidRDefault="000C401D" w:rsidP="000C401D">
      <w:pPr>
        <w:pStyle w:val="ListParagraph"/>
        <w:ind w:left="0"/>
        <w:jc w:val="both"/>
        <w:rPr>
          <w:rFonts w:ascii="Arial Narrow" w:hAnsi="Arial Narrow"/>
          <w:sz w:val="20"/>
          <w:szCs w:val="20"/>
        </w:rPr>
      </w:pPr>
    </w:p>
    <w:p w:rsidR="000C401D" w:rsidRPr="00F26E57" w:rsidRDefault="000C401D" w:rsidP="000C401D">
      <w:pPr>
        <w:pStyle w:val="ListParagraph"/>
        <w:ind w:left="0"/>
        <w:jc w:val="both"/>
        <w:rPr>
          <w:rFonts w:ascii="Arial Narrow" w:hAnsi="Arial Narrow"/>
          <w:sz w:val="20"/>
          <w:szCs w:val="20"/>
        </w:rPr>
      </w:pPr>
      <w:r w:rsidRPr="00F26E57">
        <w:rPr>
          <w:rFonts w:ascii="Arial Narrow" w:hAnsi="Arial Narrow"/>
          <w:noProof/>
        </w:rPr>
        <w:drawing>
          <wp:inline distT="0" distB="0" distL="0" distR="0" wp14:anchorId="41AC6830" wp14:editId="0E25D860">
            <wp:extent cx="5943600" cy="3575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575050"/>
                    </a:xfrm>
                    <a:prstGeom prst="rect">
                      <a:avLst/>
                    </a:prstGeom>
                  </pic:spPr>
                </pic:pic>
              </a:graphicData>
            </a:graphic>
          </wp:inline>
        </w:drawing>
      </w:r>
    </w:p>
    <w:p w:rsidR="00626E5B" w:rsidRPr="00F26E57" w:rsidRDefault="00626E5B" w:rsidP="00152E2C">
      <w:pPr>
        <w:jc w:val="both"/>
        <w:rPr>
          <w:rFonts w:ascii="Arial Narrow" w:hAnsi="Arial Narrow"/>
          <w:sz w:val="20"/>
          <w:szCs w:val="20"/>
        </w:rPr>
      </w:pPr>
    </w:p>
    <w:p w:rsidR="00626E5B" w:rsidRPr="00F26E57" w:rsidRDefault="00626E5B" w:rsidP="00152E2C">
      <w:pPr>
        <w:jc w:val="both"/>
        <w:rPr>
          <w:rFonts w:ascii="Arial Narrow" w:hAnsi="Arial Narrow"/>
          <w:sz w:val="20"/>
          <w:szCs w:val="20"/>
        </w:rPr>
      </w:pPr>
    </w:p>
    <w:p w:rsidR="00626E5B" w:rsidRPr="00F26E57" w:rsidRDefault="00626E5B" w:rsidP="00152E2C">
      <w:pPr>
        <w:jc w:val="both"/>
        <w:rPr>
          <w:rFonts w:ascii="Arial Narrow" w:hAnsi="Arial Narrow"/>
          <w:sz w:val="20"/>
          <w:szCs w:val="20"/>
        </w:rPr>
      </w:pPr>
    </w:p>
    <w:p w:rsidR="00626E5B" w:rsidRPr="00F26E57" w:rsidRDefault="00626E5B" w:rsidP="00152E2C">
      <w:pPr>
        <w:jc w:val="both"/>
        <w:rPr>
          <w:rFonts w:ascii="Arial Narrow" w:hAnsi="Arial Narrow"/>
          <w:sz w:val="20"/>
          <w:szCs w:val="20"/>
        </w:rPr>
      </w:pPr>
    </w:p>
    <w:p w:rsidR="00626E5B" w:rsidRPr="00F26E57" w:rsidRDefault="00626E5B" w:rsidP="00152E2C">
      <w:pPr>
        <w:jc w:val="both"/>
        <w:rPr>
          <w:rFonts w:ascii="Arial Narrow" w:hAnsi="Arial Narrow"/>
          <w:sz w:val="20"/>
          <w:szCs w:val="20"/>
        </w:rPr>
      </w:pPr>
    </w:p>
    <w:p w:rsidR="00626E5B" w:rsidRPr="00F26E57" w:rsidRDefault="00626E5B" w:rsidP="00152E2C">
      <w:pPr>
        <w:jc w:val="both"/>
        <w:rPr>
          <w:rFonts w:ascii="Arial Narrow" w:hAnsi="Arial Narrow"/>
          <w:sz w:val="20"/>
          <w:szCs w:val="20"/>
        </w:rPr>
      </w:pPr>
    </w:p>
    <w:p w:rsidR="00626E5B" w:rsidRPr="00F26E57" w:rsidRDefault="00626E5B" w:rsidP="00152E2C">
      <w:pPr>
        <w:jc w:val="both"/>
        <w:rPr>
          <w:rFonts w:ascii="Arial Narrow" w:hAnsi="Arial Narrow"/>
          <w:sz w:val="20"/>
          <w:szCs w:val="20"/>
        </w:rPr>
      </w:pPr>
    </w:p>
    <w:p w:rsidR="00626E5B" w:rsidRPr="00F26E57" w:rsidRDefault="00626E5B" w:rsidP="00152E2C">
      <w:pPr>
        <w:jc w:val="both"/>
        <w:rPr>
          <w:rFonts w:ascii="Arial Narrow" w:hAnsi="Arial Narrow"/>
          <w:sz w:val="20"/>
          <w:szCs w:val="20"/>
        </w:rPr>
      </w:pPr>
    </w:p>
    <w:p w:rsidR="00491553" w:rsidRPr="00F26E57" w:rsidRDefault="00491553" w:rsidP="00152E2C">
      <w:pPr>
        <w:jc w:val="both"/>
        <w:rPr>
          <w:rFonts w:ascii="Arial Narrow" w:hAnsi="Arial Narrow"/>
          <w:sz w:val="20"/>
          <w:szCs w:val="20"/>
        </w:rPr>
      </w:pPr>
    </w:p>
    <w:p w:rsidR="00F26E57" w:rsidRDefault="00F26E57">
      <w:pPr>
        <w:rPr>
          <w:rFonts w:ascii="Arial Narrow" w:hAnsi="Arial Narrow"/>
          <w:sz w:val="20"/>
          <w:szCs w:val="20"/>
        </w:rPr>
      </w:pPr>
      <w:r>
        <w:rPr>
          <w:rFonts w:ascii="Arial Narrow" w:hAnsi="Arial Narrow"/>
          <w:sz w:val="20"/>
          <w:szCs w:val="20"/>
        </w:rPr>
        <w:br w:type="page"/>
      </w:r>
    </w:p>
    <w:p w:rsidR="00034EC6" w:rsidRPr="00F26E57" w:rsidRDefault="00034EC6" w:rsidP="00152E2C">
      <w:pPr>
        <w:rPr>
          <w:rFonts w:ascii="Arial Narrow" w:hAnsi="Arial Narrow"/>
        </w:rPr>
      </w:pPr>
    </w:p>
    <w:p w:rsidR="006976EE" w:rsidRPr="00F26E57" w:rsidRDefault="006976EE" w:rsidP="00152E2C">
      <w:pPr>
        <w:rPr>
          <w:rFonts w:ascii="Arial Narrow" w:hAnsi="Arial Narrow"/>
        </w:rPr>
        <w:sectPr w:rsidR="006976EE" w:rsidRPr="00F26E57" w:rsidSect="000C401D">
          <w:type w:val="continuous"/>
          <w:pgSz w:w="12240" w:h="15840"/>
          <w:pgMar w:top="1152" w:right="1296" w:bottom="1152" w:left="1296" w:header="720" w:footer="720" w:gutter="0"/>
          <w:cols w:space="360"/>
          <w:docGrid w:linePitch="360"/>
        </w:sectPr>
      </w:pPr>
    </w:p>
    <w:p w:rsidR="00320DFE" w:rsidRPr="00F26E57" w:rsidRDefault="006976EE" w:rsidP="00152E2C">
      <w:pPr>
        <w:rPr>
          <w:rFonts w:ascii="Arial Narrow" w:hAnsi="Arial Narrow"/>
          <w:b/>
        </w:rPr>
      </w:pPr>
      <w:r w:rsidRPr="00F26E57">
        <w:rPr>
          <w:rFonts w:ascii="Arial Narrow" w:hAnsi="Arial Narrow"/>
          <w:b/>
        </w:rPr>
        <w:t>APPENDIX</w:t>
      </w:r>
    </w:p>
    <w:p w:rsidR="006976EE" w:rsidRPr="00F26E57" w:rsidRDefault="006976EE" w:rsidP="006976EE">
      <w:pPr>
        <w:spacing w:after="0" w:line="240" w:lineRule="auto"/>
        <w:rPr>
          <w:rFonts w:ascii="Arial Narrow" w:eastAsia="Calibri" w:hAnsi="Arial Narrow" w:cs="Arial"/>
          <w:b/>
          <w:i/>
          <w:color w:val="535353"/>
          <w:sz w:val="17"/>
          <w:szCs w:val="17"/>
        </w:rPr>
      </w:pPr>
      <w:r w:rsidRPr="00F26E57">
        <w:rPr>
          <w:rFonts w:ascii="Arial Narrow" w:eastAsia="Calibri" w:hAnsi="Arial Narrow" w:cs="Arial"/>
          <w:b/>
          <w:i/>
          <w:color w:val="535353"/>
          <w:sz w:val="17"/>
          <w:szCs w:val="17"/>
        </w:rPr>
        <w:t>Qualifications</w:t>
      </w:r>
    </w:p>
    <w:p w:rsidR="006976EE" w:rsidRPr="00F26E57" w:rsidRDefault="006976EE" w:rsidP="006976EE">
      <w:pPr>
        <w:spacing w:after="0" w:line="240" w:lineRule="auto"/>
        <w:rPr>
          <w:rFonts w:ascii="Arial Narrow" w:eastAsia="Calibri" w:hAnsi="Arial Narrow" w:cs="Arial"/>
          <w:color w:val="535353"/>
          <w:sz w:val="17"/>
          <w:szCs w:val="17"/>
        </w:rPr>
      </w:pPr>
      <w:r w:rsidRPr="00F26E57">
        <w:rPr>
          <w:rFonts w:ascii="Arial Narrow" w:eastAsia="Calibri" w:hAnsi="Arial Narrow" w:cs="Arial"/>
          <w:color w:val="535353"/>
          <w:sz w:val="17"/>
          <w:szCs w:val="17"/>
        </w:rPr>
        <w:t xml:space="preserve">All U.S. investors in NB Private Funds must be “accredited investors” </w:t>
      </w:r>
      <w:r w:rsidRPr="00F26E57">
        <w:rPr>
          <w:rFonts w:ascii="Arial Narrow" w:eastAsia="Calibri" w:hAnsi="Arial Narrow" w:cs="Arial"/>
          <w:b/>
          <w:bCs/>
          <w:color w:val="535353"/>
          <w:sz w:val="17"/>
          <w:szCs w:val="17"/>
          <w:u w:val="single"/>
        </w:rPr>
        <w:t>and</w:t>
      </w:r>
      <w:r w:rsidRPr="00F26E57">
        <w:rPr>
          <w:rFonts w:ascii="Arial Narrow" w:eastAsia="Calibri" w:hAnsi="Arial Narrow" w:cs="Arial"/>
          <w:color w:val="535353"/>
          <w:sz w:val="17"/>
          <w:szCs w:val="17"/>
        </w:rPr>
        <w:t xml:space="preserve"> “qualified purchasers.” If you do not meet the “qualified purchaser” or “qualified client” standard, you may still be eligible if you are directly engaged in portfolio management or research for one of our pooled vehicles, lead a firm-wide operating or policy function, or meet certain other requirements (see below). </w:t>
      </w:r>
    </w:p>
    <w:p w:rsidR="006976EE" w:rsidRPr="00F26E57" w:rsidRDefault="006976EE" w:rsidP="006976EE">
      <w:pPr>
        <w:spacing w:after="0" w:line="240" w:lineRule="auto"/>
        <w:rPr>
          <w:rFonts w:ascii="Arial Narrow" w:eastAsia="Calibri" w:hAnsi="Arial Narrow" w:cs="Arial"/>
          <w:color w:val="535353"/>
          <w:sz w:val="17"/>
          <w:szCs w:val="17"/>
        </w:rPr>
      </w:pPr>
    </w:p>
    <w:p w:rsidR="006976EE" w:rsidRPr="00F26E57" w:rsidRDefault="006976EE" w:rsidP="006976EE">
      <w:pPr>
        <w:spacing w:after="0" w:line="240" w:lineRule="auto"/>
        <w:rPr>
          <w:rFonts w:ascii="Arial Narrow" w:eastAsia="Calibri" w:hAnsi="Arial Narrow" w:cs="Arial"/>
          <w:b/>
          <w:i/>
          <w:iCs/>
          <w:color w:val="535353"/>
          <w:sz w:val="17"/>
          <w:szCs w:val="17"/>
        </w:rPr>
      </w:pPr>
      <w:r w:rsidRPr="00F26E57">
        <w:rPr>
          <w:rFonts w:ascii="Arial Narrow" w:eastAsia="Calibri" w:hAnsi="Arial Narrow" w:cs="Arial"/>
          <w:b/>
          <w:i/>
          <w:iCs/>
          <w:color w:val="535353"/>
          <w:sz w:val="17"/>
          <w:szCs w:val="17"/>
        </w:rPr>
        <w:t>Accredited Investor</w:t>
      </w:r>
    </w:p>
    <w:p w:rsidR="006976EE" w:rsidRPr="00F26E57" w:rsidRDefault="006976EE" w:rsidP="006976EE">
      <w:pPr>
        <w:spacing w:after="0" w:line="240" w:lineRule="auto"/>
        <w:rPr>
          <w:rFonts w:ascii="Arial Narrow" w:eastAsia="Calibri" w:hAnsi="Arial Narrow" w:cs="Arial"/>
          <w:color w:val="535353"/>
          <w:sz w:val="17"/>
          <w:szCs w:val="17"/>
        </w:rPr>
      </w:pPr>
      <w:r w:rsidRPr="00F26E57">
        <w:rPr>
          <w:rFonts w:ascii="Arial Narrow" w:eastAsia="Calibri" w:hAnsi="Arial Narrow" w:cs="Arial"/>
          <w:color w:val="535353"/>
          <w:sz w:val="17"/>
          <w:szCs w:val="17"/>
        </w:rPr>
        <w:t>As defined in Rule 501(a) of Regulation D under the U.S. Securities Act of 1933, as amended, the term “accredited investor” includes a (a) natural person whose net worth (which excludes the value of the person’s primary residence and any indebtedness that is secured by the person’s primary residence, except for the amount of indebtedness that is secured by the person’s primary residence that exceeds, at the time of the sale of the securities, (i) the estimated fair market value of the primary residence or (ii) the amount of indebtedness outstanding 60 days before the sale of securities, other than as a result of the acquisition of the primary residence) either individually or jointly with such person’s spouse, at the time of such person’s purchase, exceeds $1,000,000 or (b) natural person who had individual income in excess of $200,000, or joint income with such person’s spouse in excess of $300,000, in the previous two calendar years and reasonably expects to reach the same income level in the current calendar year.</w:t>
      </w:r>
    </w:p>
    <w:p w:rsidR="006976EE" w:rsidRPr="00F26E57" w:rsidRDefault="006976EE" w:rsidP="006976EE">
      <w:pPr>
        <w:spacing w:after="0" w:line="240" w:lineRule="auto"/>
        <w:rPr>
          <w:rFonts w:ascii="Arial Narrow" w:eastAsia="Calibri" w:hAnsi="Arial Narrow" w:cs="Arial"/>
          <w:color w:val="535353"/>
          <w:sz w:val="17"/>
          <w:szCs w:val="17"/>
        </w:rPr>
      </w:pPr>
    </w:p>
    <w:p w:rsidR="006976EE" w:rsidRPr="00F26E57" w:rsidRDefault="006976EE" w:rsidP="006976EE">
      <w:pPr>
        <w:spacing w:after="0" w:line="240" w:lineRule="auto"/>
        <w:rPr>
          <w:rFonts w:ascii="Arial Narrow" w:eastAsia="Calibri" w:hAnsi="Arial Narrow" w:cs="Arial"/>
          <w:b/>
          <w:i/>
          <w:iCs/>
          <w:color w:val="535353"/>
          <w:sz w:val="17"/>
          <w:szCs w:val="17"/>
        </w:rPr>
      </w:pPr>
      <w:r w:rsidRPr="00F26E57">
        <w:rPr>
          <w:rFonts w:ascii="Arial Narrow" w:eastAsia="Calibri" w:hAnsi="Arial Narrow" w:cs="Arial"/>
          <w:b/>
          <w:i/>
          <w:iCs/>
          <w:color w:val="535353"/>
          <w:sz w:val="17"/>
          <w:szCs w:val="17"/>
        </w:rPr>
        <w:t>Qualified Purchaser</w:t>
      </w:r>
    </w:p>
    <w:p w:rsidR="006976EE" w:rsidRPr="00F26E57" w:rsidRDefault="006976EE" w:rsidP="006976EE">
      <w:pPr>
        <w:spacing w:after="0" w:line="240" w:lineRule="auto"/>
        <w:rPr>
          <w:rFonts w:ascii="Arial Narrow" w:eastAsia="Calibri" w:hAnsi="Arial Narrow" w:cs="Arial"/>
          <w:color w:val="535353"/>
          <w:sz w:val="17"/>
          <w:szCs w:val="17"/>
        </w:rPr>
      </w:pPr>
      <w:r w:rsidRPr="00F26E57">
        <w:rPr>
          <w:rFonts w:ascii="Arial Narrow" w:eastAsia="Calibri" w:hAnsi="Arial Narrow" w:cs="Arial"/>
          <w:color w:val="535353"/>
          <w:sz w:val="17"/>
          <w:szCs w:val="17"/>
        </w:rPr>
        <w:t>As defined in Section 2(a</w:t>
      </w:r>
      <w:proofErr w:type="gramStart"/>
      <w:r w:rsidRPr="00F26E57">
        <w:rPr>
          <w:rFonts w:ascii="Arial Narrow" w:eastAsia="Calibri" w:hAnsi="Arial Narrow" w:cs="Arial"/>
          <w:color w:val="535353"/>
          <w:sz w:val="17"/>
          <w:szCs w:val="17"/>
        </w:rPr>
        <w:t>)(</w:t>
      </w:r>
      <w:proofErr w:type="gramEnd"/>
      <w:r w:rsidRPr="00F26E57">
        <w:rPr>
          <w:rFonts w:ascii="Arial Narrow" w:eastAsia="Calibri" w:hAnsi="Arial Narrow" w:cs="Arial"/>
          <w:color w:val="535353"/>
          <w:sz w:val="17"/>
          <w:szCs w:val="17"/>
        </w:rPr>
        <w:t>51)(A) of the U.S. Investment Company Act of 1940, as amended, the term “qualified purchaser” includes a natural person who owns $5,000,000 or more in “Investments”. In making this determination, subtract the amount of any outstanding indebtedness incurred to make the Investments. The term “Investments” includes cash and cash equivalents held for investment purposes, securities, real estate held for investment purposes, commodity futures contracts, options on commodity futures contracts and options on physical commodities traded on or subject to the rules of a major commodities exchange, and held for investment purposes, and financial contracts, including swaps and similar contracts entered into for investment purposes.</w:t>
      </w:r>
    </w:p>
    <w:p w:rsidR="006976EE" w:rsidRPr="00F26E57" w:rsidRDefault="006976EE" w:rsidP="00152E2C">
      <w:pPr>
        <w:rPr>
          <w:rFonts w:ascii="Arial Narrow" w:hAnsi="Arial Narrow"/>
        </w:rPr>
      </w:pPr>
    </w:p>
    <w:sectPr w:rsidR="006976EE" w:rsidRPr="00F26E57" w:rsidSect="006976EE">
      <w:type w:val="continuous"/>
      <w:pgSz w:w="12240" w:h="15840"/>
      <w:pgMar w:top="1440" w:right="1296" w:bottom="1440" w:left="1296"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7A" w:rsidRDefault="00B4717A" w:rsidP="0087731A">
      <w:pPr>
        <w:spacing w:after="0" w:line="240" w:lineRule="auto"/>
      </w:pPr>
      <w:r>
        <w:separator/>
      </w:r>
    </w:p>
  </w:endnote>
  <w:endnote w:type="continuationSeparator" w:id="0">
    <w:p w:rsidR="00B4717A" w:rsidRDefault="00B4717A" w:rsidP="0087731A">
      <w:pPr>
        <w:spacing w:after="0" w:line="240" w:lineRule="auto"/>
      </w:pPr>
      <w:r>
        <w:continuationSeparator/>
      </w:r>
    </w:p>
  </w:endnote>
  <w:endnote w:id="1">
    <w:p w:rsidR="00306A6E" w:rsidRPr="00F26E57" w:rsidRDefault="007F29C7" w:rsidP="00306A6E">
      <w:pPr>
        <w:pStyle w:val="EndnoteText"/>
        <w:rPr>
          <w:rFonts w:ascii="Arial Narrow" w:hAnsi="Arial Narrow"/>
          <w:i/>
          <w:sz w:val="16"/>
          <w:szCs w:val="16"/>
        </w:rPr>
      </w:pPr>
      <w:r w:rsidRPr="00F26E57">
        <w:rPr>
          <w:rStyle w:val="EndnoteReference"/>
          <w:rFonts w:ascii="Arial Narrow" w:hAnsi="Arial Narrow"/>
          <w:i/>
          <w:sz w:val="16"/>
          <w:szCs w:val="16"/>
        </w:rPr>
        <w:endnoteRef/>
      </w:r>
      <w:r w:rsidRPr="00F26E57">
        <w:rPr>
          <w:rFonts w:ascii="Arial Narrow" w:hAnsi="Arial Narrow"/>
          <w:i/>
          <w:sz w:val="16"/>
          <w:szCs w:val="16"/>
        </w:rPr>
        <w:t xml:space="preserve"> </w:t>
      </w:r>
      <w:proofErr w:type="gramStart"/>
      <w:r w:rsidRPr="00F26E57">
        <w:rPr>
          <w:rFonts w:ascii="Arial Narrow" w:hAnsi="Arial Narrow"/>
          <w:i/>
          <w:sz w:val="16"/>
          <w:szCs w:val="16"/>
        </w:rPr>
        <w:t xml:space="preserve">Citation for latest </w:t>
      </w:r>
      <w:proofErr w:type="spellStart"/>
      <w:r w:rsidRPr="00F26E57">
        <w:rPr>
          <w:rFonts w:ascii="Arial Narrow" w:hAnsi="Arial Narrow"/>
          <w:i/>
          <w:sz w:val="16"/>
          <w:szCs w:val="16"/>
        </w:rPr>
        <w:t>AUM</w:t>
      </w:r>
      <w:proofErr w:type="spellEnd"/>
      <w:r w:rsidRPr="00F26E57">
        <w:rPr>
          <w:rFonts w:ascii="Arial Narrow" w:hAnsi="Arial Narrow"/>
          <w:i/>
          <w:sz w:val="16"/>
          <w:szCs w:val="16"/>
        </w:rPr>
        <w:t xml:space="preserve"> from firm brochure or IQ</w:t>
      </w:r>
      <w:r w:rsidR="00306A6E" w:rsidRPr="00F26E57">
        <w:rPr>
          <w:rFonts w:ascii="Arial Narrow" w:hAnsi="Arial Narrow"/>
          <w:i/>
          <w:sz w:val="16"/>
          <w:szCs w:val="16"/>
        </w:rPr>
        <w:t>.</w:t>
      </w:r>
      <w:proofErr w:type="gramEnd"/>
      <w:r w:rsidR="00306A6E" w:rsidRPr="00F26E57">
        <w:rPr>
          <w:rFonts w:ascii="Arial Narrow" w:hAnsi="Arial Narrow"/>
          <w:i/>
          <w:sz w:val="16"/>
          <w:szCs w:val="16"/>
        </w:rPr>
        <w:t xml:space="preserve">  </w:t>
      </w:r>
      <w:proofErr w:type="gramStart"/>
      <w:r w:rsidR="00306A6E" w:rsidRPr="00F26E57">
        <w:rPr>
          <w:rFonts w:ascii="Arial Narrow" w:hAnsi="Arial Narrow"/>
          <w:i/>
          <w:sz w:val="16"/>
          <w:szCs w:val="16"/>
        </w:rPr>
        <w:t>As of March 2016, including commitments in the process of documentation.</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rPr>
      <w:id w:val="-811322591"/>
      <w:docPartObj>
        <w:docPartGallery w:val="Page Numbers (Bottom of Page)"/>
        <w:docPartUnique/>
      </w:docPartObj>
    </w:sdtPr>
    <w:sdtEndPr>
      <w:rPr>
        <w:noProof/>
      </w:rPr>
    </w:sdtEndPr>
    <w:sdtContent>
      <w:p w:rsidR="0087731A" w:rsidRPr="00F26E57" w:rsidRDefault="00F26E57">
        <w:pPr>
          <w:pStyle w:val="Footer"/>
          <w:rPr>
            <w:rFonts w:ascii="Arial Narrow" w:hAnsi="Arial Narrow"/>
            <w:sz w:val="16"/>
            <w:szCs w:val="16"/>
          </w:rPr>
        </w:pPr>
        <w:r w:rsidRPr="00F26E57">
          <w:rPr>
            <w:rFonts w:ascii="Arial Narrow" w:hAnsi="Arial Narrow"/>
            <w:sz w:val="16"/>
            <w:szCs w:val="16"/>
          </w:rPr>
          <w:fldChar w:fldCharType="begin"/>
        </w:r>
        <w:r w:rsidRPr="00F26E57">
          <w:rPr>
            <w:rFonts w:ascii="Arial Narrow" w:hAnsi="Arial Narrow"/>
            <w:sz w:val="16"/>
            <w:szCs w:val="16"/>
          </w:rPr>
          <w:instrText xml:space="preserve"> PAGE   \* MERGEFORMAT </w:instrText>
        </w:r>
        <w:r w:rsidRPr="00F26E57">
          <w:rPr>
            <w:rFonts w:ascii="Arial Narrow" w:hAnsi="Arial Narrow"/>
            <w:sz w:val="16"/>
            <w:szCs w:val="16"/>
          </w:rPr>
          <w:fldChar w:fldCharType="separate"/>
        </w:r>
        <w:r w:rsidR="00841887">
          <w:rPr>
            <w:rFonts w:ascii="Arial Narrow" w:hAnsi="Arial Narrow"/>
            <w:noProof/>
            <w:sz w:val="16"/>
            <w:szCs w:val="16"/>
          </w:rPr>
          <w:t>2</w:t>
        </w:r>
        <w:r w:rsidRPr="00F26E57">
          <w:rPr>
            <w:rFonts w:ascii="Arial Narrow" w:hAnsi="Arial Narrow"/>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7A" w:rsidRDefault="00B4717A" w:rsidP="0087731A">
      <w:pPr>
        <w:spacing w:after="0" w:line="240" w:lineRule="auto"/>
      </w:pPr>
      <w:r>
        <w:separator/>
      </w:r>
    </w:p>
  </w:footnote>
  <w:footnote w:type="continuationSeparator" w:id="0">
    <w:p w:rsidR="00B4717A" w:rsidRDefault="00B4717A" w:rsidP="0087731A">
      <w:pPr>
        <w:spacing w:after="0" w:line="240" w:lineRule="auto"/>
      </w:pPr>
      <w:r>
        <w:continuationSeparator/>
      </w:r>
    </w:p>
  </w:footnote>
  <w:footnote w:id="1">
    <w:p w:rsidR="00134321" w:rsidRPr="00F26E57" w:rsidRDefault="00134321">
      <w:pPr>
        <w:pStyle w:val="FootnoteText"/>
        <w:rPr>
          <w:rFonts w:ascii="Arial Narrow" w:hAnsi="Arial Narrow"/>
          <w:i/>
          <w:sz w:val="16"/>
          <w:szCs w:val="16"/>
        </w:rPr>
      </w:pPr>
      <w:r w:rsidRPr="00F26E57">
        <w:rPr>
          <w:rStyle w:val="FootnoteReference"/>
          <w:rFonts w:ascii="Arial Narrow" w:hAnsi="Arial Narrow"/>
          <w:i/>
          <w:sz w:val="16"/>
          <w:szCs w:val="16"/>
        </w:rPr>
        <w:footnoteRef/>
      </w:r>
      <w:r w:rsidRPr="00F26E57">
        <w:rPr>
          <w:rFonts w:ascii="Arial Narrow" w:hAnsi="Arial Narrow"/>
          <w:i/>
          <w:sz w:val="16"/>
          <w:szCs w:val="16"/>
        </w:rPr>
        <w:t xml:space="preserve"> </w:t>
      </w:r>
      <w:r w:rsidRPr="00F26E57">
        <w:rPr>
          <w:rFonts w:ascii="Arial Narrow" w:eastAsiaTheme="majorEastAsia" w:hAnsi="Arial Narrow" w:cstheme="majorBidi"/>
          <w:i/>
          <w:sz w:val="16"/>
          <w:szCs w:val="16"/>
        </w:rPr>
        <w:t xml:space="preserve">Neuberger Berman requires that all private fund subscribers be Accredited Investors and Qualified Purchasers.  See </w:t>
      </w:r>
      <w:hyperlink r:id="rId1" w:history="1">
        <w:proofErr w:type="spellStart"/>
        <w:r w:rsidRPr="00F26E57">
          <w:rPr>
            <w:rFonts w:ascii="Arial Narrow" w:hAnsi="Arial Narrow"/>
            <w:i/>
            <w:sz w:val="16"/>
            <w:szCs w:val="16"/>
          </w:rPr>
          <w:t>myNeuberger</w:t>
        </w:r>
        <w:proofErr w:type="spellEnd"/>
      </w:hyperlink>
      <w:r w:rsidRPr="00F26E57">
        <w:rPr>
          <w:rFonts w:ascii="Arial Narrow" w:eastAsiaTheme="majorEastAsia" w:hAnsi="Arial Narrow" w:cstheme="majorBidi"/>
          <w:i/>
          <w:sz w:val="16"/>
          <w:szCs w:val="16"/>
        </w:rPr>
        <w:t xml:space="preserve"> for details and Other Qualifications.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D15E5"/>
    <w:multiLevelType w:val="hybridMultilevel"/>
    <w:tmpl w:val="CC7EAEEC"/>
    <w:lvl w:ilvl="0" w:tplc="5FC22EC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A67E1E"/>
    <w:multiLevelType w:val="hybridMultilevel"/>
    <w:tmpl w:val="35DA4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215149D"/>
    <w:multiLevelType w:val="hybridMultilevel"/>
    <w:tmpl w:val="252EC7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3D"/>
    <w:rsid w:val="0001131E"/>
    <w:rsid w:val="00013E68"/>
    <w:rsid w:val="00023C5C"/>
    <w:rsid w:val="00034EC6"/>
    <w:rsid w:val="00036114"/>
    <w:rsid w:val="00044DA9"/>
    <w:rsid w:val="00060FD0"/>
    <w:rsid w:val="00061F97"/>
    <w:rsid w:val="00067CE7"/>
    <w:rsid w:val="000875F6"/>
    <w:rsid w:val="000A3121"/>
    <w:rsid w:val="000A6211"/>
    <w:rsid w:val="000A6C33"/>
    <w:rsid w:val="000B40D3"/>
    <w:rsid w:val="000C401D"/>
    <w:rsid w:val="000D77B7"/>
    <w:rsid w:val="000E322C"/>
    <w:rsid w:val="000F5DCE"/>
    <w:rsid w:val="001120C0"/>
    <w:rsid w:val="00114895"/>
    <w:rsid w:val="0012381A"/>
    <w:rsid w:val="00131CF3"/>
    <w:rsid w:val="00134321"/>
    <w:rsid w:val="00152E2C"/>
    <w:rsid w:val="001633E7"/>
    <w:rsid w:val="001935F6"/>
    <w:rsid w:val="001A3E52"/>
    <w:rsid w:val="001B1930"/>
    <w:rsid w:val="001B5278"/>
    <w:rsid w:val="001E0386"/>
    <w:rsid w:val="001E57B1"/>
    <w:rsid w:val="001F49C9"/>
    <w:rsid w:val="001F6890"/>
    <w:rsid w:val="00212DF1"/>
    <w:rsid w:val="002254BE"/>
    <w:rsid w:val="00246AF2"/>
    <w:rsid w:val="0025304B"/>
    <w:rsid w:val="0025341D"/>
    <w:rsid w:val="00254F94"/>
    <w:rsid w:val="002605C0"/>
    <w:rsid w:val="0026607D"/>
    <w:rsid w:val="0028121B"/>
    <w:rsid w:val="002A6338"/>
    <w:rsid w:val="002B6626"/>
    <w:rsid w:val="002C4E84"/>
    <w:rsid w:val="002D040F"/>
    <w:rsid w:val="00303B3B"/>
    <w:rsid w:val="00306A6E"/>
    <w:rsid w:val="00320DFE"/>
    <w:rsid w:val="00331193"/>
    <w:rsid w:val="00350EAC"/>
    <w:rsid w:val="00362E02"/>
    <w:rsid w:val="003A42A7"/>
    <w:rsid w:val="003A79B7"/>
    <w:rsid w:val="003E058D"/>
    <w:rsid w:val="003E65F1"/>
    <w:rsid w:val="00442C50"/>
    <w:rsid w:val="00465AE6"/>
    <w:rsid w:val="004855E7"/>
    <w:rsid w:val="00487451"/>
    <w:rsid w:val="00491553"/>
    <w:rsid w:val="00497469"/>
    <w:rsid w:val="004A35F9"/>
    <w:rsid w:val="004C4039"/>
    <w:rsid w:val="004E5719"/>
    <w:rsid w:val="004F358C"/>
    <w:rsid w:val="00525BCA"/>
    <w:rsid w:val="0053670A"/>
    <w:rsid w:val="00544C12"/>
    <w:rsid w:val="00544F5C"/>
    <w:rsid w:val="0057418A"/>
    <w:rsid w:val="00595764"/>
    <w:rsid w:val="005A4896"/>
    <w:rsid w:val="005C0E42"/>
    <w:rsid w:val="005D4E55"/>
    <w:rsid w:val="005F36BF"/>
    <w:rsid w:val="005F54EF"/>
    <w:rsid w:val="00626E5B"/>
    <w:rsid w:val="006976EE"/>
    <w:rsid w:val="006A07C9"/>
    <w:rsid w:val="006A633C"/>
    <w:rsid w:val="006A7F5E"/>
    <w:rsid w:val="006D6553"/>
    <w:rsid w:val="006E0E43"/>
    <w:rsid w:val="006F066F"/>
    <w:rsid w:val="006F66DB"/>
    <w:rsid w:val="0070356B"/>
    <w:rsid w:val="00706A3A"/>
    <w:rsid w:val="00720418"/>
    <w:rsid w:val="00752E7C"/>
    <w:rsid w:val="00784FE1"/>
    <w:rsid w:val="007A68FC"/>
    <w:rsid w:val="007C0CA6"/>
    <w:rsid w:val="007E525D"/>
    <w:rsid w:val="007F29C7"/>
    <w:rsid w:val="00815A4C"/>
    <w:rsid w:val="0082128C"/>
    <w:rsid w:val="00841887"/>
    <w:rsid w:val="0087731A"/>
    <w:rsid w:val="0087799A"/>
    <w:rsid w:val="0088143D"/>
    <w:rsid w:val="008C36AC"/>
    <w:rsid w:val="008E2C8E"/>
    <w:rsid w:val="008E6783"/>
    <w:rsid w:val="008E6E51"/>
    <w:rsid w:val="009435A9"/>
    <w:rsid w:val="009449A7"/>
    <w:rsid w:val="009454C1"/>
    <w:rsid w:val="00994436"/>
    <w:rsid w:val="009B5382"/>
    <w:rsid w:val="009B7320"/>
    <w:rsid w:val="009F40C6"/>
    <w:rsid w:val="009F5DAC"/>
    <w:rsid w:val="00A1213F"/>
    <w:rsid w:val="00A1277C"/>
    <w:rsid w:val="00A445C9"/>
    <w:rsid w:val="00A504F5"/>
    <w:rsid w:val="00A729E2"/>
    <w:rsid w:val="00A968BB"/>
    <w:rsid w:val="00AA6526"/>
    <w:rsid w:val="00AC5E84"/>
    <w:rsid w:val="00AD3A58"/>
    <w:rsid w:val="00AE265A"/>
    <w:rsid w:val="00AE5898"/>
    <w:rsid w:val="00B01C3F"/>
    <w:rsid w:val="00B11B1C"/>
    <w:rsid w:val="00B16D59"/>
    <w:rsid w:val="00B4717A"/>
    <w:rsid w:val="00B52947"/>
    <w:rsid w:val="00B7141E"/>
    <w:rsid w:val="00B80B28"/>
    <w:rsid w:val="00B821DA"/>
    <w:rsid w:val="00BA21E1"/>
    <w:rsid w:val="00BD003A"/>
    <w:rsid w:val="00BD3FF9"/>
    <w:rsid w:val="00BE4BE8"/>
    <w:rsid w:val="00BF2F52"/>
    <w:rsid w:val="00BF31B6"/>
    <w:rsid w:val="00BF6F96"/>
    <w:rsid w:val="00C0289C"/>
    <w:rsid w:val="00C028F2"/>
    <w:rsid w:val="00C06C70"/>
    <w:rsid w:val="00C22EDF"/>
    <w:rsid w:val="00C242AE"/>
    <w:rsid w:val="00C25B42"/>
    <w:rsid w:val="00C52FBF"/>
    <w:rsid w:val="00C54929"/>
    <w:rsid w:val="00C66924"/>
    <w:rsid w:val="00C67354"/>
    <w:rsid w:val="00C90CC3"/>
    <w:rsid w:val="00CA1666"/>
    <w:rsid w:val="00CA4D3D"/>
    <w:rsid w:val="00CA753D"/>
    <w:rsid w:val="00CB5443"/>
    <w:rsid w:val="00CC2546"/>
    <w:rsid w:val="00CF16B3"/>
    <w:rsid w:val="00CF263F"/>
    <w:rsid w:val="00CF65E8"/>
    <w:rsid w:val="00D270E0"/>
    <w:rsid w:val="00D37540"/>
    <w:rsid w:val="00D64B79"/>
    <w:rsid w:val="00DA225F"/>
    <w:rsid w:val="00DD7009"/>
    <w:rsid w:val="00DE1927"/>
    <w:rsid w:val="00DF4F9E"/>
    <w:rsid w:val="00E063FC"/>
    <w:rsid w:val="00E107C2"/>
    <w:rsid w:val="00E109E2"/>
    <w:rsid w:val="00E10DC7"/>
    <w:rsid w:val="00E11655"/>
    <w:rsid w:val="00E139B8"/>
    <w:rsid w:val="00E703CF"/>
    <w:rsid w:val="00E95015"/>
    <w:rsid w:val="00EB380C"/>
    <w:rsid w:val="00EB6A0C"/>
    <w:rsid w:val="00EC5633"/>
    <w:rsid w:val="00ED0F40"/>
    <w:rsid w:val="00ED3C8C"/>
    <w:rsid w:val="00EE6654"/>
    <w:rsid w:val="00EF258D"/>
    <w:rsid w:val="00F006CF"/>
    <w:rsid w:val="00F11AD0"/>
    <w:rsid w:val="00F21EAD"/>
    <w:rsid w:val="00F26E57"/>
    <w:rsid w:val="00F341C4"/>
    <w:rsid w:val="00F5517B"/>
    <w:rsid w:val="00F667C3"/>
    <w:rsid w:val="00F80559"/>
    <w:rsid w:val="00F9403F"/>
    <w:rsid w:val="00FA5753"/>
    <w:rsid w:val="00FB0EEE"/>
    <w:rsid w:val="00FB5455"/>
    <w:rsid w:val="00FC0DD9"/>
    <w:rsid w:val="00FD36DC"/>
    <w:rsid w:val="00FE090C"/>
    <w:rsid w:val="00FF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31A"/>
  </w:style>
  <w:style w:type="paragraph" w:styleId="Footer">
    <w:name w:val="footer"/>
    <w:basedOn w:val="Normal"/>
    <w:link w:val="FooterChar"/>
    <w:uiPriority w:val="99"/>
    <w:unhideWhenUsed/>
    <w:rsid w:val="0087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31A"/>
  </w:style>
  <w:style w:type="paragraph" w:styleId="BalloonText">
    <w:name w:val="Balloon Text"/>
    <w:basedOn w:val="Normal"/>
    <w:link w:val="BalloonTextChar"/>
    <w:uiPriority w:val="99"/>
    <w:semiHidden/>
    <w:unhideWhenUsed/>
    <w:rsid w:val="00877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1A"/>
    <w:rPr>
      <w:rFonts w:ascii="Tahoma" w:hAnsi="Tahoma" w:cs="Tahoma"/>
      <w:sz w:val="16"/>
      <w:szCs w:val="16"/>
    </w:rPr>
  </w:style>
  <w:style w:type="character" w:styleId="Hyperlink">
    <w:name w:val="Hyperlink"/>
    <w:basedOn w:val="DefaultParagraphFont"/>
    <w:uiPriority w:val="99"/>
    <w:unhideWhenUsed/>
    <w:rsid w:val="000875F6"/>
    <w:rPr>
      <w:color w:val="0000FF" w:themeColor="hyperlink"/>
      <w:u w:val="single"/>
    </w:rPr>
  </w:style>
  <w:style w:type="paragraph" w:styleId="FootnoteText">
    <w:name w:val="footnote text"/>
    <w:basedOn w:val="Normal"/>
    <w:link w:val="FootnoteTextChar"/>
    <w:uiPriority w:val="99"/>
    <w:semiHidden/>
    <w:unhideWhenUsed/>
    <w:rsid w:val="00134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321"/>
    <w:rPr>
      <w:sz w:val="20"/>
      <w:szCs w:val="20"/>
    </w:rPr>
  </w:style>
  <w:style w:type="character" w:styleId="FootnoteReference">
    <w:name w:val="footnote reference"/>
    <w:basedOn w:val="DefaultParagraphFont"/>
    <w:uiPriority w:val="99"/>
    <w:semiHidden/>
    <w:unhideWhenUsed/>
    <w:rsid w:val="00134321"/>
    <w:rPr>
      <w:vertAlign w:val="superscript"/>
    </w:rPr>
  </w:style>
  <w:style w:type="paragraph" w:styleId="EndnoteText">
    <w:name w:val="endnote text"/>
    <w:basedOn w:val="Normal"/>
    <w:link w:val="EndnoteTextChar"/>
    <w:uiPriority w:val="99"/>
    <w:semiHidden/>
    <w:unhideWhenUsed/>
    <w:rsid w:val="007F29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29C7"/>
    <w:rPr>
      <w:sz w:val="20"/>
      <w:szCs w:val="20"/>
    </w:rPr>
  </w:style>
  <w:style w:type="character" w:styleId="EndnoteReference">
    <w:name w:val="endnote reference"/>
    <w:basedOn w:val="DefaultParagraphFont"/>
    <w:uiPriority w:val="99"/>
    <w:semiHidden/>
    <w:unhideWhenUsed/>
    <w:rsid w:val="007F29C7"/>
    <w:rPr>
      <w:vertAlign w:val="superscript"/>
    </w:rPr>
  </w:style>
  <w:style w:type="paragraph" w:styleId="Caption">
    <w:name w:val="caption"/>
    <w:basedOn w:val="Normal"/>
    <w:next w:val="Normal"/>
    <w:uiPriority w:val="35"/>
    <w:semiHidden/>
    <w:unhideWhenUsed/>
    <w:qFormat/>
    <w:rsid w:val="000D77B7"/>
    <w:pPr>
      <w:spacing w:line="240" w:lineRule="auto"/>
    </w:pPr>
    <w:rPr>
      <w:b/>
      <w:bCs/>
      <w:color w:val="4F81BD" w:themeColor="accent1"/>
      <w:sz w:val="18"/>
      <w:szCs w:val="18"/>
    </w:rPr>
  </w:style>
  <w:style w:type="paragraph" w:styleId="ListParagraph">
    <w:name w:val="List Paragraph"/>
    <w:basedOn w:val="Normal"/>
    <w:uiPriority w:val="34"/>
    <w:qFormat/>
    <w:rsid w:val="000C40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31A"/>
  </w:style>
  <w:style w:type="paragraph" w:styleId="Footer">
    <w:name w:val="footer"/>
    <w:basedOn w:val="Normal"/>
    <w:link w:val="FooterChar"/>
    <w:uiPriority w:val="99"/>
    <w:unhideWhenUsed/>
    <w:rsid w:val="0087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31A"/>
  </w:style>
  <w:style w:type="paragraph" w:styleId="BalloonText">
    <w:name w:val="Balloon Text"/>
    <w:basedOn w:val="Normal"/>
    <w:link w:val="BalloonTextChar"/>
    <w:uiPriority w:val="99"/>
    <w:semiHidden/>
    <w:unhideWhenUsed/>
    <w:rsid w:val="00877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1A"/>
    <w:rPr>
      <w:rFonts w:ascii="Tahoma" w:hAnsi="Tahoma" w:cs="Tahoma"/>
      <w:sz w:val="16"/>
      <w:szCs w:val="16"/>
    </w:rPr>
  </w:style>
  <w:style w:type="character" w:styleId="Hyperlink">
    <w:name w:val="Hyperlink"/>
    <w:basedOn w:val="DefaultParagraphFont"/>
    <w:uiPriority w:val="99"/>
    <w:unhideWhenUsed/>
    <w:rsid w:val="000875F6"/>
    <w:rPr>
      <w:color w:val="0000FF" w:themeColor="hyperlink"/>
      <w:u w:val="single"/>
    </w:rPr>
  </w:style>
  <w:style w:type="paragraph" w:styleId="FootnoteText">
    <w:name w:val="footnote text"/>
    <w:basedOn w:val="Normal"/>
    <w:link w:val="FootnoteTextChar"/>
    <w:uiPriority w:val="99"/>
    <w:semiHidden/>
    <w:unhideWhenUsed/>
    <w:rsid w:val="00134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321"/>
    <w:rPr>
      <w:sz w:val="20"/>
      <w:szCs w:val="20"/>
    </w:rPr>
  </w:style>
  <w:style w:type="character" w:styleId="FootnoteReference">
    <w:name w:val="footnote reference"/>
    <w:basedOn w:val="DefaultParagraphFont"/>
    <w:uiPriority w:val="99"/>
    <w:semiHidden/>
    <w:unhideWhenUsed/>
    <w:rsid w:val="00134321"/>
    <w:rPr>
      <w:vertAlign w:val="superscript"/>
    </w:rPr>
  </w:style>
  <w:style w:type="paragraph" w:styleId="EndnoteText">
    <w:name w:val="endnote text"/>
    <w:basedOn w:val="Normal"/>
    <w:link w:val="EndnoteTextChar"/>
    <w:uiPriority w:val="99"/>
    <w:semiHidden/>
    <w:unhideWhenUsed/>
    <w:rsid w:val="007F29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29C7"/>
    <w:rPr>
      <w:sz w:val="20"/>
      <w:szCs w:val="20"/>
    </w:rPr>
  </w:style>
  <w:style w:type="character" w:styleId="EndnoteReference">
    <w:name w:val="endnote reference"/>
    <w:basedOn w:val="DefaultParagraphFont"/>
    <w:uiPriority w:val="99"/>
    <w:semiHidden/>
    <w:unhideWhenUsed/>
    <w:rsid w:val="007F29C7"/>
    <w:rPr>
      <w:vertAlign w:val="superscript"/>
    </w:rPr>
  </w:style>
  <w:style w:type="paragraph" w:styleId="Caption">
    <w:name w:val="caption"/>
    <w:basedOn w:val="Normal"/>
    <w:next w:val="Normal"/>
    <w:uiPriority w:val="35"/>
    <w:semiHidden/>
    <w:unhideWhenUsed/>
    <w:qFormat/>
    <w:rsid w:val="000D77B7"/>
    <w:pPr>
      <w:spacing w:line="240" w:lineRule="auto"/>
    </w:pPr>
    <w:rPr>
      <w:b/>
      <w:bCs/>
      <w:color w:val="4F81BD" w:themeColor="accent1"/>
      <w:sz w:val="18"/>
      <w:szCs w:val="18"/>
    </w:rPr>
  </w:style>
  <w:style w:type="paragraph" w:styleId="ListParagraph">
    <w:name w:val="List Paragraph"/>
    <w:basedOn w:val="Normal"/>
    <w:uiPriority w:val="34"/>
    <w:qFormat/>
    <w:rsid w:val="000C4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49538">
      <w:bodyDiv w:val="1"/>
      <w:marLeft w:val="0"/>
      <w:marRight w:val="0"/>
      <w:marTop w:val="0"/>
      <w:marBottom w:val="0"/>
      <w:divBdr>
        <w:top w:val="none" w:sz="0" w:space="0" w:color="auto"/>
        <w:left w:val="none" w:sz="0" w:space="0" w:color="auto"/>
        <w:bottom w:val="none" w:sz="0" w:space="0" w:color="auto"/>
        <w:right w:val="none" w:sz="0" w:space="0" w:color="auto"/>
      </w:divBdr>
    </w:div>
    <w:div w:id="197166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ome.nb.com/departments/HR/Pages/EIS-private_fun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06FC-7307-46EF-9144-B9061607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Austrian</dc:creator>
  <cp:lastModifiedBy>de la Torre, Dominique</cp:lastModifiedBy>
  <cp:revision>8</cp:revision>
  <cp:lastPrinted>2016-08-26T13:21:00Z</cp:lastPrinted>
  <dcterms:created xsi:type="dcterms:W3CDTF">2016-08-26T13:40:00Z</dcterms:created>
  <dcterms:modified xsi:type="dcterms:W3CDTF">2017-05-03T18:18:00Z</dcterms:modified>
</cp:coreProperties>
</file>